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87CD" w14:textId="2328C289" w:rsidR="00781642" w:rsidRPr="002F0AC5" w:rsidRDefault="002F0AC5" w:rsidP="00781642">
      <w:pPr>
        <w:jc w:val="center"/>
        <w:rPr>
          <w:rFonts w:ascii="Arial" w:eastAsia="Times New Roman" w:hAnsi="Arial" w:cs="Arial"/>
          <w:b/>
          <w:color w:val="000000"/>
          <w:sz w:val="72"/>
          <w:szCs w:val="56"/>
          <w:lang w:eastAsia="es-CO"/>
        </w:rPr>
      </w:pPr>
      <w:r w:rsidRPr="00431791">
        <w:rPr>
          <w:rFonts w:ascii="Arial" w:hAnsi="Arial" w:cs="Arial"/>
          <w:b/>
          <w:iCs/>
          <w:noProof/>
          <w:sz w:val="72"/>
          <w:szCs w:val="72"/>
          <w:lang w:eastAsia="es-CO"/>
        </w:rPr>
        <w:drawing>
          <wp:anchor distT="0" distB="0" distL="114300" distR="114300" simplePos="0" relativeHeight="251659264" behindDoc="1" locked="0" layoutInCell="1" allowOverlap="1" wp14:anchorId="785ED3F5" wp14:editId="014AB798">
            <wp:simplePos x="0" y="0"/>
            <wp:positionH relativeFrom="margin">
              <wp:align>right</wp:align>
            </wp:positionH>
            <wp:positionV relativeFrom="margin">
              <wp:posOffset>3104515</wp:posOffset>
            </wp:positionV>
            <wp:extent cx="5580380" cy="51390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580380" cy="513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AC5">
        <w:rPr>
          <w:rFonts w:ascii="Arial" w:eastAsia="Times New Roman" w:hAnsi="Arial" w:cs="Arial"/>
          <w:b/>
          <w:color w:val="000000"/>
          <w:sz w:val="72"/>
          <w:szCs w:val="56"/>
          <w:lang w:eastAsia="es-CO"/>
        </w:rPr>
        <w:t>PROTOCOLO DE ACCIDENTE DE TRABAJO POR EXPOSICI</w:t>
      </w:r>
      <w:r>
        <w:rPr>
          <w:rFonts w:ascii="Arial" w:eastAsia="Times New Roman" w:hAnsi="Arial" w:cs="Arial"/>
          <w:b/>
          <w:color w:val="000000"/>
          <w:sz w:val="72"/>
          <w:szCs w:val="56"/>
          <w:lang w:eastAsia="es-CO"/>
        </w:rPr>
        <w:t>Ó</w:t>
      </w:r>
      <w:r w:rsidRPr="002F0AC5">
        <w:rPr>
          <w:rFonts w:ascii="Arial" w:eastAsia="Times New Roman" w:hAnsi="Arial" w:cs="Arial"/>
          <w:b/>
          <w:color w:val="000000"/>
          <w:sz w:val="72"/>
          <w:szCs w:val="56"/>
          <w:lang w:eastAsia="es-CO"/>
        </w:rPr>
        <w:t>N AL RIESGO BIOLÓGICO</w:t>
      </w:r>
    </w:p>
    <w:sdt>
      <w:sdtPr>
        <w:rPr>
          <w:rFonts w:eastAsiaTheme="minorEastAsia" w:cs="Arial"/>
          <w:b w:val="0"/>
          <w:noProof/>
          <w:color w:val="auto"/>
          <w:sz w:val="24"/>
          <w:szCs w:val="22"/>
          <w:lang w:val="es-ES"/>
        </w:rPr>
        <w:id w:val="-1411467656"/>
        <w:docPartObj>
          <w:docPartGallery w:val="Table of Contents"/>
          <w:docPartUnique/>
        </w:docPartObj>
      </w:sdtPr>
      <w:sdtEndPr/>
      <w:sdtContent>
        <w:p w14:paraId="3AC15E1C" w14:textId="702AFA26" w:rsidR="00D924A6" w:rsidRDefault="00D924A6">
          <w:pPr>
            <w:pStyle w:val="TtuloTDC"/>
            <w:rPr>
              <w:lang w:val="es-ES"/>
            </w:rPr>
          </w:pPr>
          <w:r>
            <w:rPr>
              <w:lang w:val="es-ES"/>
            </w:rPr>
            <w:t>TABLA DE CONTENIDO</w:t>
          </w:r>
        </w:p>
        <w:p w14:paraId="3BCB6AD5" w14:textId="77777777" w:rsidR="00D924A6" w:rsidRPr="00D924A6" w:rsidRDefault="00D924A6" w:rsidP="00D924A6">
          <w:pPr>
            <w:spacing w:after="0"/>
            <w:rPr>
              <w:lang w:val="es-ES" w:eastAsia="es-CO"/>
            </w:rPr>
          </w:pPr>
        </w:p>
        <w:p w14:paraId="26FF7986" w14:textId="4944973A" w:rsidR="00D924A6" w:rsidRPr="00D924A6" w:rsidRDefault="00D924A6">
          <w:pPr>
            <w:pStyle w:val="TDC1"/>
            <w:rPr>
              <w:sz w:val="20"/>
              <w:szCs w:val="20"/>
            </w:rPr>
          </w:pPr>
          <w:r w:rsidRPr="00D924A6">
            <w:rPr>
              <w:sz w:val="20"/>
              <w:szCs w:val="20"/>
            </w:rPr>
            <w:fldChar w:fldCharType="begin"/>
          </w:r>
          <w:r w:rsidRPr="00D924A6">
            <w:rPr>
              <w:sz w:val="20"/>
              <w:szCs w:val="20"/>
            </w:rPr>
            <w:instrText xml:space="preserve"> TOC \o "1-3" \h \z \u </w:instrText>
          </w:r>
          <w:r w:rsidRPr="00D924A6">
            <w:rPr>
              <w:sz w:val="20"/>
              <w:szCs w:val="20"/>
            </w:rPr>
            <w:fldChar w:fldCharType="separate"/>
          </w:r>
          <w:hyperlink w:anchor="_Toc32502160" w:history="1">
            <w:r w:rsidRPr="00D924A6">
              <w:rPr>
                <w:rStyle w:val="Hipervnculo"/>
                <w:sz w:val="20"/>
                <w:szCs w:val="20"/>
              </w:rPr>
              <w:t>OBJETIVO</w:t>
            </w:r>
            <w:r w:rsidRPr="00D924A6">
              <w:rPr>
                <w:webHidden/>
                <w:sz w:val="20"/>
                <w:szCs w:val="20"/>
              </w:rPr>
              <w:tab/>
            </w:r>
            <w:r w:rsidRPr="00D924A6">
              <w:rPr>
                <w:webHidden/>
                <w:sz w:val="20"/>
                <w:szCs w:val="20"/>
              </w:rPr>
              <w:fldChar w:fldCharType="begin"/>
            </w:r>
            <w:r w:rsidRPr="00D924A6">
              <w:rPr>
                <w:webHidden/>
                <w:sz w:val="20"/>
                <w:szCs w:val="20"/>
              </w:rPr>
              <w:instrText xml:space="preserve"> PAGEREF _Toc32502160 \h </w:instrText>
            </w:r>
            <w:r w:rsidRPr="00D924A6">
              <w:rPr>
                <w:webHidden/>
                <w:sz w:val="20"/>
                <w:szCs w:val="20"/>
              </w:rPr>
            </w:r>
            <w:r w:rsidRPr="00D924A6">
              <w:rPr>
                <w:webHidden/>
                <w:sz w:val="20"/>
                <w:szCs w:val="20"/>
              </w:rPr>
              <w:fldChar w:fldCharType="separate"/>
            </w:r>
            <w:r>
              <w:rPr>
                <w:webHidden/>
                <w:sz w:val="20"/>
                <w:szCs w:val="20"/>
              </w:rPr>
              <w:t>3</w:t>
            </w:r>
            <w:r w:rsidRPr="00D924A6">
              <w:rPr>
                <w:webHidden/>
                <w:sz w:val="20"/>
                <w:szCs w:val="20"/>
              </w:rPr>
              <w:fldChar w:fldCharType="end"/>
            </w:r>
          </w:hyperlink>
        </w:p>
        <w:p w14:paraId="31E5D98E" w14:textId="7A722F2E" w:rsidR="00D924A6" w:rsidRPr="00D924A6" w:rsidRDefault="00FF25F0">
          <w:pPr>
            <w:pStyle w:val="TDC1"/>
            <w:rPr>
              <w:sz w:val="20"/>
              <w:szCs w:val="20"/>
            </w:rPr>
          </w:pPr>
          <w:hyperlink w:anchor="_Toc32502161" w:history="1">
            <w:r w:rsidR="00D924A6" w:rsidRPr="00D924A6">
              <w:rPr>
                <w:rStyle w:val="Hipervnculo"/>
                <w:sz w:val="20"/>
                <w:szCs w:val="20"/>
              </w:rPr>
              <w:t>ALCANCE</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_Toc32502161 \h </w:instrText>
            </w:r>
            <w:r w:rsidR="00D924A6" w:rsidRPr="00D924A6">
              <w:rPr>
                <w:webHidden/>
                <w:sz w:val="20"/>
                <w:szCs w:val="20"/>
              </w:rPr>
            </w:r>
            <w:r w:rsidR="00D924A6" w:rsidRPr="00D924A6">
              <w:rPr>
                <w:webHidden/>
                <w:sz w:val="20"/>
                <w:szCs w:val="20"/>
              </w:rPr>
              <w:fldChar w:fldCharType="separate"/>
            </w:r>
            <w:r w:rsidR="00D924A6">
              <w:rPr>
                <w:webHidden/>
                <w:sz w:val="20"/>
                <w:szCs w:val="20"/>
              </w:rPr>
              <w:t>3</w:t>
            </w:r>
            <w:r w:rsidR="00D924A6" w:rsidRPr="00D924A6">
              <w:rPr>
                <w:webHidden/>
                <w:sz w:val="20"/>
                <w:szCs w:val="20"/>
              </w:rPr>
              <w:fldChar w:fldCharType="end"/>
            </w:r>
          </w:hyperlink>
        </w:p>
        <w:p w14:paraId="59D7E830" w14:textId="665F408B" w:rsidR="00D924A6" w:rsidRPr="00D924A6" w:rsidRDefault="00FF25F0">
          <w:pPr>
            <w:pStyle w:val="TDC1"/>
            <w:rPr>
              <w:sz w:val="20"/>
              <w:szCs w:val="20"/>
            </w:rPr>
          </w:pPr>
          <w:hyperlink w:anchor="_Toc32502162" w:history="1">
            <w:r w:rsidR="00D924A6" w:rsidRPr="00D924A6">
              <w:rPr>
                <w:rStyle w:val="Hipervnculo"/>
                <w:sz w:val="20"/>
                <w:szCs w:val="20"/>
              </w:rPr>
              <w:t>TÉRMINOS Y DEFINICIONES</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_Toc32502162 \h </w:instrText>
            </w:r>
            <w:r w:rsidR="00D924A6" w:rsidRPr="00D924A6">
              <w:rPr>
                <w:webHidden/>
                <w:sz w:val="20"/>
                <w:szCs w:val="20"/>
              </w:rPr>
            </w:r>
            <w:r w:rsidR="00D924A6" w:rsidRPr="00D924A6">
              <w:rPr>
                <w:webHidden/>
                <w:sz w:val="20"/>
                <w:szCs w:val="20"/>
              </w:rPr>
              <w:fldChar w:fldCharType="separate"/>
            </w:r>
            <w:r w:rsidR="00D924A6">
              <w:rPr>
                <w:webHidden/>
                <w:sz w:val="20"/>
                <w:szCs w:val="20"/>
              </w:rPr>
              <w:t>3</w:t>
            </w:r>
            <w:r w:rsidR="00D924A6" w:rsidRPr="00D924A6">
              <w:rPr>
                <w:webHidden/>
                <w:sz w:val="20"/>
                <w:szCs w:val="20"/>
              </w:rPr>
              <w:fldChar w:fldCharType="end"/>
            </w:r>
          </w:hyperlink>
        </w:p>
        <w:p w14:paraId="4AF35DD7" w14:textId="6CB122B1" w:rsidR="00D924A6" w:rsidRPr="00D924A6" w:rsidRDefault="00FF25F0">
          <w:pPr>
            <w:pStyle w:val="TDC1"/>
            <w:rPr>
              <w:sz w:val="20"/>
              <w:szCs w:val="20"/>
            </w:rPr>
          </w:pPr>
          <w:hyperlink w:anchor="_Toc32502163" w:history="1">
            <w:r w:rsidR="00D924A6" w:rsidRPr="00D924A6">
              <w:rPr>
                <w:sz w:val="20"/>
                <w:szCs w:val="20"/>
              </w:rPr>
              <w:tab/>
            </w:r>
            <w:r w:rsidR="00D924A6" w:rsidRPr="00D924A6">
              <w:rPr>
                <w:rStyle w:val="Hipervnculo"/>
                <w:sz w:val="20"/>
                <w:szCs w:val="20"/>
              </w:rPr>
              <w:t>MANEJO MÉDICO DE LA EXPOSICIÓN LABORAL O NO LABORAL ANTE LAS ITS, VIH, VHB Y EL VHC.</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_Toc32502163 \h </w:instrText>
            </w:r>
            <w:r w:rsidR="00D924A6" w:rsidRPr="00D924A6">
              <w:rPr>
                <w:webHidden/>
                <w:sz w:val="20"/>
                <w:szCs w:val="20"/>
              </w:rPr>
            </w:r>
            <w:r w:rsidR="00D924A6" w:rsidRPr="00D924A6">
              <w:rPr>
                <w:webHidden/>
                <w:sz w:val="20"/>
                <w:szCs w:val="20"/>
              </w:rPr>
              <w:fldChar w:fldCharType="separate"/>
            </w:r>
            <w:r w:rsidR="00D924A6">
              <w:rPr>
                <w:webHidden/>
                <w:sz w:val="20"/>
                <w:szCs w:val="20"/>
              </w:rPr>
              <w:t>5</w:t>
            </w:r>
            <w:r w:rsidR="00D924A6" w:rsidRPr="00D924A6">
              <w:rPr>
                <w:webHidden/>
                <w:sz w:val="20"/>
                <w:szCs w:val="20"/>
              </w:rPr>
              <w:fldChar w:fldCharType="end"/>
            </w:r>
          </w:hyperlink>
        </w:p>
        <w:p w14:paraId="7563EA3A" w14:textId="4F266249" w:rsidR="00D924A6" w:rsidRPr="00D924A6" w:rsidRDefault="00FF25F0">
          <w:pPr>
            <w:pStyle w:val="TDC2"/>
            <w:tabs>
              <w:tab w:val="left" w:pos="880"/>
              <w:tab w:val="right" w:leader="dot" w:pos="8828"/>
            </w:tabs>
            <w:rPr>
              <w:rFonts w:ascii="Arial" w:eastAsiaTheme="minorEastAsia" w:hAnsi="Arial" w:cs="Arial"/>
              <w:b w:val="0"/>
              <w:bCs w:val="0"/>
              <w:noProof/>
              <w:sz w:val="20"/>
              <w:szCs w:val="20"/>
              <w:lang w:eastAsia="es-CO"/>
            </w:rPr>
          </w:pPr>
          <w:hyperlink w:anchor="_Toc32502164" w:history="1">
            <w:r w:rsidR="00D924A6" w:rsidRPr="00D924A6">
              <w:rPr>
                <w:rStyle w:val="Hipervnculo"/>
                <w:rFonts w:ascii="Arial" w:hAnsi="Arial" w:cs="Arial"/>
                <w:b w:val="0"/>
                <w:bCs w:val="0"/>
                <w:noProof/>
                <w:sz w:val="20"/>
                <w:szCs w:val="20"/>
              </w:rPr>
              <w:t>4.1</w:t>
            </w:r>
            <w:r w:rsidR="00D924A6" w:rsidRPr="00D924A6">
              <w:rPr>
                <w:rFonts w:ascii="Arial" w:eastAsiaTheme="minorEastAsia" w:hAnsi="Arial" w:cs="Arial"/>
                <w:b w:val="0"/>
                <w:bCs w:val="0"/>
                <w:noProof/>
                <w:sz w:val="20"/>
                <w:szCs w:val="20"/>
                <w:lang w:eastAsia="es-CO"/>
              </w:rPr>
              <w:tab/>
            </w:r>
            <w:r w:rsidR="00D924A6" w:rsidRPr="00D924A6">
              <w:rPr>
                <w:rStyle w:val="Hipervnculo"/>
                <w:rFonts w:ascii="Arial" w:hAnsi="Arial" w:cs="Arial"/>
                <w:b w:val="0"/>
                <w:bCs w:val="0"/>
                <w:noProof/>
                <w:sz w:val="20"/>
                <w:szCs w:val="20"/>
              </w:rPr>
              <w:t>CARACTERIZACIÓN DE LA EXPOSICIÓN DE RIESGO LABORAL O NO LABORAL</w:t>
            </w:r>
            <w:r w:rsidR="00D924A6" w:rsidRPr="00D924A6">
              <w:rPr>
                <w:rFonts w:ascii="Arial" w:hAnsi="Arial" w:cs="Arial"/>
                <w:b w:val="0"/>
                <w:bCs w:val="0"/>
                <w:noProof/>
                <w:webHidden/>
                <w:sz w:val="20"/>
                <w:szCs w:val="20"/>
              </w:rPr>
              <w:tab/>
            </w:r>
            <w:r w:rsidR="00D924A6" w:rsidRPr="00D924A6">
              <w:rPr>
                <w:rFonts w:ascii="Arial" w:hAnsi="Arial" w:cs="Arial"/>
                <w:b w:val="0"/>
                <w:bCs w:val="0"/>
                <w:noProof/>
                <w:webHidden/>
                <w:sz w:val="20"/>
                <w:szCs w:val="20"/>
              </w:rPr>
              <w:fldChar w:fldCharType="begin"/>
            </w:r>
            <w:r w:rsidR="00D924A6" w:rsidRPr="00D924A6">
              <w:rPr>
                <w:rFonts w:ascii="Arial" w:hAnsi="Arial" w:cs="Arial"/>
                <w:b w:val="0"/>
                <w:bCs w:val="0"/>
                <w:noProof/>
                <w:webHidden/>
                <w:sz w:val="20"/>
                <w:szCs w:val="20"/>
              </w:rPr>
              <w:instrText xml:space="preserve"> PAGEREF _Toc32502164 \h </w:instrText>
            </w:r>
            <w:r w:rsidR="00D924A6" w:rsidRPr="00D924A6">
              <w:rPr>
                <w:rFonts w:ascii="Arial" w:hAnsi="Arial" w:cs="Arial"/>
                <w:b w:val="0"/>
                <w:bCs w:val="0"/>
                <w:noProof/>
                <w:webHidden/>
                <w:sz w:val="20"/>
                <w:szCs w:val="20"/>
              </w:rPr>
            </w:r>
            <w:r w:rsidR="00D924A6" w:rsidRPr="00D924A6">
              <w:rPr>
                <w:rFonts w:ascii="Arial" w:hAnsi="Arial" w:cs="Arial"/>
                <w:b w:val="0"/>
                <w:bCs w:val="0"/>
                <w:noProof/>
                <w:webHidden/>
                <w:sz w:val="20"/>
                <w:szCs w:val="20"/>
              </w:rPr>
              <w:fldChar w:fldCharType="separate"/>
            </w:r>
            <w:r w:rsidR="00D924A6">
              <w:rPr>
                <w:rFonts w:ascii="Arial" w:hAnsi="Arial" w:cs="Arial"/>
                <w:b w:val="0"/>
                <w:bCs w:val="0"/>
                <w:noProof/>
                <w:webHidden/>
                <w:sz w:val="20"/>
                <w:szCs w:val="20"/>
              </w:rPr>
              <w:t>5</w:t>
            </w:r>
            <w:r w:rsidR="00D924A6" w:rsidRPr="00D924A6">
              <w:rPr>
                <w:rFonts w:ascii="Arial" w:hAnsi="Arial" w:cs="Arial"/>
                <w:b w:val="0"/>
                <w:bCs w:val="0"/>
                <w:noProof/>
                <w:webHidden/>
                <w:sz w:val="20"/>
                <w:szCs w:val="20"/>
              </w:rPr>
              <w:fldChar w:fldCharType="end"/>
            </w:r>
          </w:hyperlink>
        </w:p>
        <w:p w14:paraId="151DAD35" w14:textId="1520C49F" w:rsidR="00D924A6" w:rsidRPr="00D924A6" w:rsidRDefault="00FF25F0">
          <w:pPr>
            <w:pStyle w:val="TDC1"/>
            <w:rPr>
              <w:sz w:val="20"/>
              <w:szCs w:val="20"/>
            </w:rPr>
          </w:pPr>
          <w:hyperlink w:anchor="_Toc32502165" w:history="1">
            <w:r w:rsidR="00D924A6" w:rsidRPr="00D924A6">
              <w:rPr>
                <w:rStyle w:val="Hipervnculo"/>
                <w:sz w:val="20"/>
                <w:szCs w:val="20"/>
              </w:rPr>
              <w:t>EVALUACIÓN DEL RIESGO ANTE UNA EXPOSICIÓN DE RIESGO OCUPACIONAL (EO).</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_Toc32502165 \h </w:instrText>
            </w:r>
            <w:r w:rsidR="00D924A6" w:rsidRPr="00D924A6">
              <w:rPr>
                <w:webHidden/>
                <w:sz w:val="20"/>
                <w:szCs w:val="20"/>
              </w:rPr>
            </w:r>
            <w:r w:rsidR="00D924A6" w:rsidRPr="00D924A6">
              <w:rPr>
                <w:webHidden/>
                <w:sz w:val="20"/>
                <w:szCs w:val="20"/>
              </w:rPr>
              <w:fldChar w:fldCharType="separate"/>
            </w:r>
            <w:r w:rsidR="00D924A6">
              <w:rPr>
                <w:webHidden/>
                <w:sz w:val="20"/>
                <w:szCs w:val="20"/>
              </w:rPr>
              <w:t>6</w:t>
            </w:r>
            <w:r w:rsidR="00D924A6" w:rsidRPr="00D924A6">
              <w:rPr>
                <w:webHidden/>
                <w:sz w:val="20"/>
                <w:szCs w:val="20"/>
              </w:rPr>
              <w:fldChar w:fldCharType="end"/>
            </w:r>
          </w:hyperlink>
        </w:p>
        <w:p w14:paraId="2E8A80BA" w14:textId="687971D2" w:rsidR="00D924A6" w:rsidRPr="00D924A6" w:rsidRDefault="00FF25F0">
          <w:pPr>
            <w:pStyle w:val="TDC2"/>
            <w:tabs>
              <w:tab w:val="left" w:pos="880"/>
              <w:tab w:val="right" w:leader="dot" w:pos="8828"/>
            </w:tabs>
            <w:rPr>
              <w:rFonts w:ascii="Arial" w:eastAsiaTheme="minorEastAsia" w:hAnsi="Arial" w:cs="Arial"/>
              <w:b w:val="0"/>
              <w:bCs w:val="0"/>
              <w:noProof/>
              <w:sz w:val="20"/>
              <w:szCs w:val="20"/>
              <w:lang w:eastAsia="es-CO"/>
            </w:rPr>
          </w:pPr>
          <w:hyperlink w:anchor="_Toc32502166" w:history="1">
            <w:r w:rsidR="00D924A6" w:rsidRPr="00D924A6">
              <w:rPr>
                <w:rStyle w:val="Hipervnculo"/>
                <w:rFonts w:ascii="Arial" w:eastAsia="ArialMT" w:hAnsi="Arial" w:cs="Arial"/>
                <w:b w:val="0"/>
                <w:bCs w:val="0"/>
                <w:noProof/>
                <w:sz w:val="20"/>
                <w:szCs w:val="20"/>
              </w:rPr>
              <w:t>5.1</w:t>
            </w:r>
            <w:r w:rsidR="00D924A6" w:rsidRPr="00D924A6">
              <w:rPr>
                <w:rFonts w:ascii="Arial" w:eastAsiaTheme="minorEastAsia" w:hAnsi="Arial" w:cs="Arial"/>
                <w:b w:val="0"/>
                <w:bCs w:val="0"/>
                <w:noProof/>
                <w:sz w:val="20"/>
                <w:szCs w:val="20"/>
                <w:lang w:eastAsia="es-CO"/>
              </w:rPr>
              <w:tab/>
            </w:r>
            <w:r w:rsidR="00D924A6" w:rsidRPr="00D924A6">
              <w:rPr>
                <w:rStyle w:val="Hipervnculo"/>
                <w:rFonts w:ascii="Arial" w:hAnsi="Arial" w:cs="Arial"/>
                <w:b w:val="0"/>
                <w:bCs w:val="0"/>
                <w:noProof/>
                <w:sz w:val="20"/>
                <w:szCs w:val="20"/>
              </w:rPr>
              <w:t>EVALUACIÓN DEL RIESGO ANTE UNA EXPOSICIÓN OCUPACIONAL</w:t>
            </w:r>
            <w:r w:rsidR="00D924A6" w:rsidRPr="00D924A6">
              <w:rPr>
                <w:rFonts w:ascii="Arial" w:hAnsi="Arial" w:cs="Arial"/>
                <w:b w:val="0"/>
                <w:bCs w:val="0"/>
                <w:noProof/>
                <w:webHidden/>
                <w:sz w:val="20"/>
                <w:szCs w:val="20"/>
              </w:rPr>
              <w:tab/>
            </w:r>
            <w:r w:rsidR="00D924A6" w:rsidRPr="00D924A6">
              <w:rPr>
                <w:rFonts w:ascii="Arial" w:hAnsi="Arial" w:cs="Arial"/>
                <w:b w:val="0"/>
                <w:bCs w:val="0"/>
                <w:noProof/>
                <w:webHidden/>
                <w:sz w:val="20"/>
                <w:szCs w:val="20"/>
              </w:rPr>
              <w:fldChar w:fldCharType="begin"/>
            </w:r>
            <w:r w:rsidR="00D924A6" w:rsidRPr="00D924A6">
              <w:rPr>
                <w:rFonts w:ascii="Arial" w:hAnsi="Arial" w:cs="Arial"/>
                <w:b w:val="0"/>
                <w:bCs w:val="0"/>
                <w:noProof/>
                <w:webHidden/>
                <w:sz w:val="20"/>
                <w:szCs w:val="20"/>
              </w:rPr>
              <w:instrText xml:space="preserve"> PAGEREF _Toc32502166 \h </w:instrText>
            </w:r>
            <w:r w:rsidR="00D924A6" w:rsidRPr="00D924A6">
              <w:rPr>
                <w:rFonts w:ascii="Arial" w:hAnsi="Arial" w:cs="Arial"/>
                <w:b w:val="0"/>
                <w:bCs w:val="0"/>
                <w:noProof/>
                <w:webHidden/>
                <w:sz w:val="20"/>
                <w:szCs w:val="20"/>
              </w:rPr>
            </w:r>
            <w:r w:rsidR="00D924A6" w:rsidRPr="00D924A6">
              <w:rPr>
                <w:rFonts w:ascii="Arial" w:hAnsi="Arial" w:cs="Arial"/>
                <w:b w:val="0"/>
                <w:bCs w:val="0"/>
                <w:noProof/>
                <w:webHidden/>
                <w:sz w:val="20"/>
                <w:szCs w:val="20"/>
              </w:rPr>
              <w:fldChar w:fldCharType="separate"/>
            </w:r>
            <w:r w:rsidR="00D924A6">
              <w:rPr>
                <w:rFonts w:ascii="Arial" w:hAnsi="Arial" w:cs="Arial"/>
                <w:b w:val="0"/>
                <w:bCs w:val="0"/>
                <w:noProof/>
                <w:webHidden/>
                <w:sz w:val="20"/>
                <w:szCs w:val="20"/>
              </w:rPr>
              <w:t>6</w:t>
            </w:r>
            <w:r w:rsidR="00D924A6" w:rsidRPr="00D924A6">
              <w:rPr>
                <w:rFonts w:ascii="Arial" w:hAnsi="Arial" w:cs="Arial"/>
                <w:b w:val="0"/>
                <w:bCs w:val="0"/>
                <w:noProof/>
                <w:webHidden/>
                <w:sz w:val="20"/>
                <w:szCs w:val="20"/>
              </w:rPr>
              <w:fldChar w:fldCharType="end"/>
            </w:r>
          </w:hyperlink>
        </w:p>
        <w:p w14:paraId="12793B6F" w14:textId="0E40999A" w:rsidR="00D924A6" w:rsidRPr="00D924A6" w:rsidRDefault="00FF25F0">
          <w:pPr>
            <w:pStyle w:val="TDC1"/>
            <w:rPr>
              <w:sz w:val="20"/>
              <w:szCs w:val="20"/>
            </w:rPr>
          </w:pPr>
          <w:hyperlink w:anchor="_Toc32502167" w:history="1">
            <w:r w:rsidR="00D924A6" w:rsidRPr="00D924A6">
              <w:rPr>
                <w:rStyle w:val="Hipervnculo"/>
                <w:sz w:val="20"/>
                <w:szCs w:val="20"/>
              </w:rPr>
              <w:t>RECOMENDACIONES PARA DECIDIR INICIAR PROFILAXIS ANTE UNA EXPOSICIÓN DE RIESGO BIOLÓGICO OCUPACIONAL (ERBO)</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_Toc32502167 \h </w:instrText>
            </w:r>
            <w:r w:rsidR="00D924A6" w:rsidRPr="00D924A6">
              <w:rPr>
                <w:webHidden/>
                <w:sz w:val="20"/>
                <w:szCs w:val="20"/>
              </w:rPr>
            </w:r>
            <w:r w:rsidR="00D924A6" w:rsidRPr="00D924A6">
              <w:rPr>
                <w:webHidden/>
                <w:sz w:val="20"/>
                <w:szCs w:val="20"/>
              </w:rPr>
              <w:fldChar w:fldCharType="separate"/>
            </w:r>
            <w:r w:rsidR="00D924A6">
              <w:rPr>
                <w:webHidden/>
                <w:sz w:val="20"/>
                <w:szCs w:val="20"/>
              </w:rPr>
              <w:t>8</w:t>
            </w:r>
            <w:r w:rsidR="00D924A6" w:rsidRPr="00D924A6">
              <w:rPr>
                <w:webHidden/>
                <w:sz w:val="20"/>
                <w:szCs w:val="20"/>
              </w:rPr>
              <w:fldChar w:fldCharType="end"/>
            </w:r>
          </w:hyperlink>
        </w:p>
        <w:p w14:paraId="4FE9DF53" w14:textId="501F83B9" w:rsidR="00D924A6" w:rsidRPr="00D924A6" w:rsidRDefault="00FF25F0">
          <w:pPr>
            <w:pStyle w:val="TDC2"/>
            <w:tabs>
              <w:tab w:val="left" w:pos="880"/>
              <w:tab w:val="right" w:leader="dot" w:pos="8828"/>
            </w:tabs>
            <w:rPr>
              <w:rFonts w:ascii="Arial" w:eastAsiaTheme="minorEastAsia" w:hAnsi="Arial" w:cs="Arial"/>
              <w:b w:val="0"/>
              <w:bCs w:val="0"/>
              <w:noProof/>
              <w:sz w:val="20"/>
              <w:szCs w:val="20"/>
              <w:lang w:eastAsia="es-CO"/>
            </w:rPr>
          </w:pPr>
          <w:hyperlink w:anchor="_Toc32502168" w:history="1">
            <w:r w:rsidR="00D924A6" w:rsidRPr="00D924A6">
              <w:rPr>
                <w:rStyle w:val="Hipervnculo"/>
                <w:rFonts w:ascii="Arial" w:hAnsi="Arial" w:cs="Arial"/>
                <w:b w:val="0"/>
                <w:bCs w:val="0"/>
                <w:noProof/>
                <w:sz w:val="20"/>
                <w:szCs w:val="20"/>
              </w:rPr>
              <w:t>6.1</w:t>
            </w:r>
            <w:r w:rsidR="00D924A6" w:rsidRPr="00D924A6">
              <w:rPr>
                <w:rFonts w:ascii="Arial" w:eastAsiaTheme="minorEastAsia" w:hAnsi="Arial" w:cs="Arial"/>
                <w:b w:val="0"/>
                <w:bCs w:val="0"/>
                <w:noProof/>
                <w:sz w:val="20"/>
                <w:szCs w:val="20"/>
                <w:lang w:eastAsia="es-CO"/>
              </w:rPr>
              <w:tab/>
            </w:r>
            <w:r w:rsidR="00D924A6" w:rsidRPr="00D924A6">
              <w:rPr>
                <w:rStyle w:val="Hipervnculo"/>
                <w:rFonts w:ascii="Arial" w:hAnsi="Arial" w:cs="Arial"/>
                <w:b w:val="0"/>
                <w:bCs w:val="0"/>
                <w:noProof/>
                <w:sz w:val="20"/>
                <w:szCs w:val="20"/>
              </w:rPr>
              <w:t>RECOMENDACIONES GENERALES ANTE UNA EXPOSICIÓN DE RIESGO BIOLÓGICO</w:t>
            </w:r>
            <w:r w:rsidR="00D924A6" w:rsidRPr="00D924A6">
              <w:rPr>
                <w:rFonts w:ascii="Arial" w:hAnsi="Arial" w:cs="Arial"/>
                <w:b w:val="0"/>
                <w:bCs w:val="0"/>
                <w:noProof/>
                <w:webHidden/>
                <w:sz w:val="20"/>
                <w:szCs w:val="20"/>
              </w:rPr>
              <w:tab/>
            </w:r>
            <w:r w:rsidR="00D924A6" w:rsidRPr="00D924A6">
              <w:rPr>
                <w:rFonts w:ascii="Arial" w:hAnsi="Arial" w:cs="Arial"/>
                <w:b w:val="0"/>
                <w:bCs w:val="0"/>
                <w:noProof/>
                <w:webHidden/>
                <w:sz w:val="20"/>
                <w:szCs w:val="20"/>
              </w:rPr>
              <w:fldChar w:fldCharType="begin"/>
            </w:r>
            <w:r w:rsidR="00D924A6" w:rsidRPr="00D924A6">
              <w:rPr>
                <w:rFonts w:ascii="Arial" w:hAnsi="Arial" w:cs="Arial"/>
                <w:b w:val="0"/>
                <w:bCs w:val="0"/>
                <w:noProof/>
                <w:webHidden/>
                <w:sz w:val="20"/>
                <w:szCs w:val="20"/>
              </w:rPr>
              <w:instrText xml:space="preserve"> PAGEREF _Toc32502168 \h </w:instrText>
            </w:r>
            <w:r w:rsidR="00D924A6" w:rsidRPr="00D924A6">
              <w:rPr>
                <w:rFonts w:ascii="Arial" w:hAnsi="Arial" w:cs="Arial"/>
                <w:b w:val="0"/>
                <w:bCs w:val="0"/>
                <w:noProof/>
                <w:webHidden/>
                <w:sz w:val="20"/>
                <w:szCs w:val="20"/>
              </w:rPr>
            </w:r>
            <w:r w:rsidR="00D924A6" w:rsidRPr="00D924A6">
              <w:rPr>
                <w:rFonts w:ascii="Arial" w:hAnsi="Arial" w:cs="Arial"/>
                <w:b w:val="0"/>
                <w:bCs w:val="0"/>
                <w:noProof/>
                <w:webHidden/>
                <w:sz w:val="20"/>
                <w:szCs w:val="20"/>
              </w:rPr>
              <w:fldChar w:fldCharType="separate"/>
            </w:r>
            <w:r w:rsidR="00D924A6">
              <w:rPr>
                <w:rFonts w:ascii="Arial" w:hAnsi="Arial" w:cs="Arial"/>
                <w:b w:val="0"/>
                <w:bCs w:val="0"/>
                <w:noProof/>
                <w:webHidden/>
                <w:sz w:val="20"/>
                <w:szCs w:val="20"/>
              </w:rPr>
              <w:t>8</w:t>
            </w:r>
            <w:r w:rsidR="00D924A6" w:rsidRPr="00D924A6">
              <w:rPr>
                <w:rFonts w:ascii="Arial" w:hAnsi="Arial" w:cs="Arial"/>
                <w:b w:val="0"/>
                <w:bCs w:val="0"/>
                <w:noProof/>
                <w:webHidden/>
                <w:sz w:val="20"/>
                <w:szCs w:val="20"/>
              </w:rPr>
              <w:fldChar w:fldCharType="end"/>
            </w:r>
          </w:hyperlink>
        </w:p>
        <w:p w14:paraId="5A29505D" w14:textId="6A26A81B" w:rsidR="00D924A6" w:rsidRPr="00D924A6" w:rsidRDefault="00FF25F0">
          <w:pPr>
            <w:pStyle w:val="TDC1"/>
            <w:rPr>
              <w:sz w:val="20"/>
              <w:szCs w:val="20"/>
            </w:rPr>
          </w:pPr>
          <w:hyperlink w:anchor="_Toc32502169" w:history="1">
            <w:r w:rsidR="00D924A6" w:rsidRPr="00D924A6">
              <w:rPr>
                <w:rStyle w:val="Hipervnculo"/>
                <w:sz w:val="20"/>
                <w:szCs w:val="20"/>
              </w:rPr>
              <w:t>INTERVENCIÓN FARMACOLÓGICA EN PROFILAXIS POST-EXPOSICIÓN DEL VIH, EN PERSONAS CON 13 AÑOS Y MÁS.</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_Toc32502169 \h </w:instrText>
            </w:r>
            <w:r w:rsidR="00D924A6" w:rsidRPr="00D924A6">
              <w:rPr>
                <w:webHidden/>
                <w:sz w:val="20"/>
                <w:szCs w:val="20"/>
              </w:rPr>
            </w:r>
            <w:r w:rsidR="00D924A6" w:rsidRPr="00D924A6">
              <w:rPr>
                <w:webHidden/>
                <w:sz w:val="20"/>
                <w:szCs w:val="20"/>
              </w:rPr>
              <w:fldChar w:fldCharType="separate"/>
            </w:r>
            <w:r w:rsidR="00D924A6">
              <w:rPr>
                <w:webHidden/>
                <w:sz w:val="20"/>
                <w:szCs w:val="20"/>
              </w:rPr>
              <w:t>10</w:t>
            </w:r>
            <w:r w:rsidR="00D924A6" w:rsidRPr="00D924A6">
              <w:rPr>
                <w:webHidden/>
                <w:sz w:val="20"/>
                <w:szCs w:val="20"/>
              </w:rPr>
              <w:fldChar w:fldCharType="end"/>
            </w:r>
          </w:hyperlink>
        </w:p>
        <w:p w14:paraId="7DFCD81F" w14:textId="2D526359" w:rsidR="00D924A6" w:rsidRPr="00D924A6" w:rsidRDefault="00FF25F0">
          <w:pPr>
            <w:pStyle w:val="TDC1"/>
            <w:rPr>
              <w:sz w:val="20"/>
              <w:szCs w:val="20"/>
            </w:rPr>
          </w:pPr>
          <w:hyperlink w:anchor="_Toc32502170" w:history="1">
            <w:r w:rsidR="00D924A6" w:rsidRPr="00D924A6">
              <w:rPr>
                <w:rStyle w:val="Hipervnculo"/>
                <w:sz w:val="20"/>
                <w:szCs w:val="20"/>
              </w:rPr>
              <w:t>RESUMEN DE EFECTOS SECUNDARIOS DE LOS ARV RECOMENDADOS PARA LA PPE EN ADOLESCENTES Y ADULTOS.</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_Toc32502170 \h </w:instrText>
            </w:r>
            <w:r w:rsidR="00D924A6" w:rsidRPr="00D924A6">
              <w:rPr>
                <w:webHidden/>
                <w:sz w:val="20"/>
                <w:szCs w:val="20"/>
              </w:rPr>
            </w:r>
            <w:r w:rsidR="00D924A6" w:rsidRPr="00D924A6">
              <w:rPr>
                <w:webHidden/>
                <w:sz w:val="20"/>
                <w:szCs w:val="20"/>
              </w:rPr>
              <w:fldChar w:fldCharType="separate"/>
            </w:r>
            <w:r w:rsidR="00D924A6">
              <w:rPr>
                <w:webHidden/>
                <w:sz w:val="20"/>
                <w:szCs w:val="20"/>
              </w:rPr>
              <w:t>10</w:t>
            </w:r>
            <w:r w:rsidR="00D924A6" w:rsidRPr="00D924A6">
              <w:rPr>
                <w:webHidden/>
                <w:sz w:val="20"/>
                <w:szCs w:val="20"/>
              </w:rPr>
              <w:fldChar w:fldCharType="end"/>
            </w:r>
          </w:hyperlink>
        </w:p>
        <w:p w14:paraId="67FC2362" w14:textId="1A7B0BCF" w:rsidR="00D924A6" w:rsidRPr="00D924A6" w:rsidRDefault="00FF25F0">
          <w:pPr>
            <w:pStyle w:val="TDC1"/>
            <w:rPr>
              <w:sz w:val="20"/>
              <w:szCs w:val="20"/>
            </w:rPr>
          </w:pPr>
          <w:hyperlink w:anchor="_Toc32502171" w:history="1">
            <w:r w:rsidR="00D924A6" w:rsidRPr="00D924A6">
              <w:rPr>
                <w:rStyle w:val="Hipervnculo"/>
                <w:sz w:val="20"/>
                <w:szCs w:val="20"/>
              </w:rPr>
              <w:t>PROFILAXIS POST EXPOSICIÓN DE LA HEPATITIS B EN PERSONAS GESTANTES Y NO GESTANTES.</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_Toc32502171 \h </w:instrText>
            </w:r>
            <w:r w:rsidR="00D924A6" w:rsidRPr="00D924A6">
              <w:rPr>
                <w:webHidden/>
                <w:sz w:val="20"/>
                <w:szCs w:val="20"/>
              </w:rPr>
            </w:r>
            <w:r w:rsidR="00D924A6" w:rsidRPr="00D924A6">
              <w:rPr>
                <w:webHidden/>
                <w:sz w:val="20"/>
                <w:szCs w:val="20"/>
              </w:rPr>
              <w:fldChar w:fldCharType="separate"/>
            </w:r>
            <w:r w:rsidR="00D924A6">
              <w:rPr>
                <w:webHidden/>
                <w:sz w:val="20"/>
                <w:szCs w:val="20"/>
              </w:rPr>
              <w:t>12</w:t>
            </w:r>
            <w:r w:rsidR="00D924A6" w:rsidRPr="00D924A6">
              <w:rPr>
                <w:webHidden/>
                <w:sz w:val="20"/>
                <w:szCs w:val="20"/>
              </w:rPr>
              <w:fldChar w:fldCharType="end"/>
            </w:r>
          </w:hyperlink>
        </w:p>
        <w:p w14:paraId="4EE645D6" w14:textId="4F524B2A" w:rsidR="00D924A6" w:rsidRPr="00D924A6" w:rsidRDefault="00FF25F0">
          <w:pPr>
            <w:pStyle w:val="TDC2"/>
            <w:tabs>
              <w:tab w:val="left" w:pos="880"/>
              <w:tab w:val="right" w:leader="dot" w:pos="8828"/>
            </w:tabs>
            <w:rPr>
              <w:rFonts w:ascii="Arial" w:eastAsiaTheme="minorEastAsia" w:hAnsi="Arial" w:cs="Arial"/>
              <w:b w:val="0"/>
              <w:bCs w:val="0"/>
              <w:noProof/>
              <w:sz w:val="20"/>
              <w:szCs w:val="20"/>
              <w:lang w:eastAsia="es-CO"/>
            </w:rPr>
          </w:pPr>
          <w:hyperlink w:anchor="_Toc32502172" w:history="1">
            <w:r w:rsidR="00D924A6" w:rsidRPr="00D924A6">
              <w:rPr>
                <w:rStyle w:val="Hipervnculo"/>
                <w:rFonts w:ascii="Arial" w:hAnsi="Arial" w:cs="Arial"/>
                <w:b w:val="0"/>
                <w:bCs w:val="0"/>
                <w:noProof/>
                <w:sz w:val="20"/>
                <w:szCs w:val="20"/>
              </w:rPr>
              <w:t>9.1</w:t>
            </w:r>
            <w:r w:rsidR="00D924A6" w:rsidRPr="00D924A6">
              <w:rPr>
                <w:rFonts w:ascii="Arial" w:eastAsiaTheme="minorEastAsia" w:hAnsi="Arial" w:cs="Arial"/>
                <w:b w:val="0"/>
                <w:bCs w:val="0"/>
                <w:noProof/>
                <w:sz w:val="20"/>
                <w:szCs w:val="20"/>
                <w:lang w:eastAsia="es-CO"/>
              </w:rPr>
              <w:tab/>
            </w:r>
            <w:r w:rsidR="00D924A6" w:rsidRPr="00D924A6">
              <w:rPr>
                <w:rStyle w:val="Hipervnculo"/>
                <w:rFonts w:ascii="Arial" w:hAnsi="Arial" w:cs="Arial"/>
                <w:b w:val="0"/>
                <w:bCs w:val="0"/>
                <w:noProof/>
                <w:sz w:val="20"/>
                <w:szCs w:val="20"/>
              </w:rPr>
              <w:t>VACUNA CONTRA HEPATITIS B:</w:t>
            </w:r>
            <w:r w:rsidR="00D924A6" w:rsidRPr="00D924A6">
              <w:rPr>
                <w:rFonts w:ascii="Arial" w:hAnsi="Arial" w:cs="Arial"/>
                <w:b w:val="0"/>
                <w:bCs w:val="0"/>
                <w:noProof/>
                <w:webHidden/>
                <w:sz w:val="20"/>
                <w:szCs w:val="20"/>
              </w:rPr>
              <w:tab/>
            </w:r>
            <w:r w:rsidR="00D924A6" w:rsidRPr="00D924A6">
              <w:rPr>
                <w:rFonts w:ascii="Arial" w:hAnsi="Arial" w:cs="Arial"/>
                <w:b w:val="0"/>
                <w:bCs w:val="0"/>
                <w:noProof/>
                <w:webHidden/>
                <w:sz w:val="20"/>
                <w:szCs w:val="20"/>
              </w:rPr>
              <w:fldChar w:fldCharType="begin"/>
            </w:r>
            <w:r w:rsidR="00D924A6" w:rsidRPr="00D924A6">
              <w:rPr>
                <w:rFonts w:ascii="Arial" w:hAnsi="Arial" w:cs="Arial"/>
                <w:b w:val="0"/>
                <w:bCs w:val="0"/>
                <w:noProof/>
                <w:webHidden/>
                <w:sz w:val="20"/>
                <w:szCs w:val="20"/>
              </w:rPr>
              <w:instrText xml:space="preserve"> PAGEREF _Toc32502172 \h </w:instrText>
            </w:r>
            <w:r w:rsidR="00D924A6" w:rsidRPr="00D924A6">
              <w:rPr>
                <w:rFonts w:ascii="Arial" w:hAnsi="Arial" w:cs="Arial"/>
                <w:b w:val="0"/>
                <w:bCs w:val="0"/>
                <w:noProof/>
                <w:webHidden/>
                <w:sz w:val="20"/>
                <w:szCs w:val="20"/>
              </w:rPr>
            </w:r>
            <w:r w:rsidR="00D924A6" w:rsidRPr="00D924A6">
              <w:rPr>
                <w:rFonts w:ascii="Arial" w:hAnsi="Arial" w:cs="Arial"/>
                <w:b w:val="0"/>
                <w:bCs w:val="0"/>
                <w:noProof/>
                <w:webHidden/>
                <w:sz w:val="20"/>
                <w:szCs w:val="20"/>
              </w:rPr>
              <w:fldChar w:fldCharType="separate"/>
            </w:r>
            <w:r w:rsidR="00D924A6">
              <w:rPr>
                <w:rFonts w:ascii="Arial" w:hAnsi="Arial" w:cs="Arial"/>
                <w:b w:val="0"/>
                <w:bCs w:val="0"/>
                <w:noProof/>
                <w:webHidden/>
                <w:sz w:val="20"/>
                <w:szCs w:val="20"/>
              </w:rPr>
              <w:t>12</w:t>
            </w:r>
            <w:r w:rsidR="00D924A6" w:rsidRPr="00D924A6">
              <w:rPr>
                <w:rFonts w:ascii="Arial" w:hAnsi="Arial" w:cs="Arial"/>
                <w:b w:val="0"/>
                <w:bCs w:val="0"/>
                <w:noProof/>
                <w:webHidden/>
                <w:sz w:val="20"/>
                <w:szCs w:val="20"/>
              </w:rPr>
              <w:fldChar w:fldCharType="end"/>
            </w:r>
          </w:hyperlink>
        </w:p>
        <w:p w14:paraId="7311F769" w14:textId="46E0A05B" w:rsidR="00D924A6" w:rsidRPr="00D924A6" w:rsidRDefault="00FF25F0">
          <w:pPr>
            <w:pStyle w:val="TDC2"/>
            <w:tabs>
              <w:tab w:val="left" w:pos="880"/>
              <w:tab w:val="right" w:leader="dot" w:pos="8828"/>
            </w:tabs>
            <w:rPr>
              <w:rFonts w:ascii="Arial" w:eastAsiaTheme="minorEastAsia" w:hAnsi="Arial" w:cs="Arial"/>
              <w:b w:val="0"/>
              <w:bCs w:val="0"/>
              <w:noProof/>
              <w:sz w:val="20"/>
              <w:szCs w:val="20"/>
              <w:lang w:eastAsia="es-CO"/>
            </w:rPr>
          </w:pPr>
          <w:hyperlink w:anchor="_Toc32502173" w:history="1">
            <w:r w:rsidR="00D924A6" w:rsidRPr="00D924A6">
              <w:rPr>
                <w:rStyle w:val="Hipervnculo"/>
                <w:rFonts w:ascii="Arial" w:hAnsi="Arial" w:cs="Arial"/>
                <w:b w:val="0"/>
                <w:bCs w:val="0"/>
                <w:noProof/>
                <w:sz w:val="20"/>
                <w:szCs w:val="20"/>
              </w:rPr>
              <w:t>9.2</w:t>
            </w:r>
            <w:r w:rsidR="00D924A6" w:rsidRPr="00D924A6">
              <w:rPr>
                <w:rFonts w:ascii="Arial" w:eastAsiaTheme="minorEastAsia" w:hAnsi="Arial" w:cs="Arial"/>
                <w:b w:val="0"/>
                <w:bCs w:val="0"/>
                <w:noProof/>
                <w:sz w:val="20"/>
                <w:szCs w:val="20"/>
                <w:lang w:eastAsia="es-CO"/>
              </w:rPr>
              <w:tab/>
            </w:r>
            <w:r w:rsidR="00D924A6" w:rsidRPr="00D924A6">
              <w:rPr>
                <w:rStyle w:val="Hipervnculo"/>
                <w:rFonts w:ascii="Arial" w:hAnsi="Arial" w:cs="Arial"/>
                <w:b w:val="0"/>
                <w:bCs w:val="0"/>
                <w:noProof/>
                <w:sz w:val="20"/>
                <w:szCs w:val="20"/>
              </w:rPr>
              <w:t>GAMMAGLOBULINA ANTI-HEPATITIS-B (HBIG).</w:t>
            </w:r>
            <w:r w:rsidR="00D924A6" w:rsidRPr="00D924A6">
              <w:rPr>
                <w:rFonts w:ascii="Arial" w:hAnsi="Arial" w:cs="Arial"/>
                <w:b w:val="0"/>
                <w:bCs w:val="0"/>
                <w:noProof/>
                <w:webHidden/>
                <w:sz w:val="20"/>
                <w:szCs w:val="20"/>
              </w:rPr>
              <w:tab/>
            </w:r>
            <w:r w:rsidR="00D924A6" w:rsidRPr="00D924A6">
              <w:rPr>
                <w:rFonts w:ascii="Arial" w:hAnsi="Arial" w:cs="Arial"/>
                <w:b w:val="0"/>
                <w:bCs w:val="0"/>
                <w:noProof/>
                <w:webHidden/>
                <w:sz w:val="20"/>
                <w:szCs w:val="20"/>
              </w:rPr>
              <w:fldChar w:fldCharType="begin"/>
            </w:r>
            <w:r w:rsidR="00D924A6" w:rsidRPr="00D924A6">
              <w:rPr>
                <w:rFonts w:ascii="Arial" w:hAnsi="Arial" w:cs="Arial"/>
                <w:b w:val="0"/>
                <w:bCs w:val="0"/>
                <w:noProof/>
                <w:webHidden/>
                <w:sz w:val="20"/>
                <w:szCs w:val="20"/>
              </w:rPr>
              <w:instrText xml:space="preserve"> PAGEREF _Toc32502173 \h </w:instrText>
            </w:r>
            <w:r w:rsidR="00D924A6" w:rsidRPr="00D924A6">
              <w:rPr>
                <w:rFonts w:ascii="Arial" w:hAnsi="Arial" w:cs="Arial"/>
                <w:b w:val="0"/>
                <w:bCs w:val="0"/>
                <w:noProof/>
                <w:webHidden/>
                <w:sz w:val="20"/>
                <w:szCs w:val="20"/>
              </w:rPr>
            </w:r>
            <w:r w:rsidR="00D924A6" w:rsidRPr="00D924A6">
              <w:rPr>
                <w:rFonts w:ascii="Arial" w:hAnsi="Arial" w:cs="Arial"/>
                <w:b w:val="0"/>
                <w:bCs w:val="0"/>
                <w:noProof/>
                <w:webHidden/>
                <w:sz w:val="20"/>
                <w:szCs w:val="20"/>
              </w:rPr>
              <w:fldChar w:fldCharType="separate"/>
            </w:r>
            <w:r w:rsidR="00D924A6">
              <w:rPr>
                <w:rFonts w:ascii="Arial" w:hAnsi="Arial" w:cs="Arial"/>
                <w:b w:val="0"/>
                <w:bCs w:val="0"/>
                <w:noProof/>
                <w:webHidden/>
                <w:sz w:val="20"/>
                <w:szCs w:val="20"/>
              </w:rPr>
              <w:t>12</w:t>
            </w:r>
            <w:r w:rsidR="00D924A6" w:rsidRPr="00D924A6">
              <w:rPr>
                <w:rFonts w:ascii="Arial" w:hAnsi="Arial" w:cs="Arial"/>
                <w:b w:val="0"/>
                <w:bCs w:val="0"/>
                <w:noProof/>
                <w:webHidden/>
                <w:sz w:val="20"/>
                <w:szCs w:val="20"/>
              </w:rPr>
              <w:fldChar w:fldCharType="end"/>
            </w:r>
          </w:hyperlink>
        </w:p>
        <w:p w14:paraId="134D5ABA" w14:textId="40A25EFC" w:rsidR="00D924A6" w:rsidRPr="00D924A6" w:rsidRDefault="00FF25F0">
          <w:pPr>
            <w:pStyle w:val="TDC1"/>
            <w:rPr>
              <w:sz w:val="20"/>
              <w:szCs w:val="20"/>
            </w:rPr>
          </w:pPr>
          <w:hyperlink w:anchor="_Toc32502174" w:history="1">
            <w:r w:rsidR="00D924A6" w:rsidRPr="00D924A6">
              <w:rPr>
                <w:rStyle w:val="Hipervnculo"/>
                <w:sz w:val="20"/>
                <w:szCs w:val="20"/>
              </w:rPr>
              <w:t>MANEJO POST-EXPOSICIÓN OCUPACIONAL A SANGRE Y FLUIDOS CORPORALES, PERCUTÁNEA O MUCOSA, DE ACUERDO AL ESTADO DE VACUNACIÓN DE LA PERSONA EXPUESTA Y RESPUESTA INMUNOLÓGICA A LA VACUNA CONTRA LA HEPATITIS B.</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_Toc32502174 \h </w:instrText>
            </w:r>
            <w:r w:rsidR="00D924A6" w:rsidRPr="00D924A6">
              <w:rPr>
                <w:webHidden/>
                <w:sz w:val="20"/>
                <w:szCs w:val="20"/>
              </w:rPr>
            </w:r>
            <w:r w:rsidR="00D924A6" w:rsidRPr="00D924A6">
              <w:rPr>
                <w:webHidden/>
                <w:sz w:val="20"/>
                <w:szCs w:val="20"/>
              </w:rPr>
              <w:fldChar w:fldCharType="separate"/>
            </w:r>
            <w:r w:rsidR="00D924A6">
              <w:rPr>
                <w:webHidden/>
                <w:sz w:val="20"/>
                <w:szCs w:val="20"/>
              </w:rPr>
              <w:t>13</w:t>
            </w:r>
            <w:r w:rsidR="00D924A6" w:rsidRPr="00D924A6">
              <w:rPr>
                <w:webHidden/>
                <w:sz w:val="20"/>
                <w:szCs w:val="20"/>
              </w:rPr>
              <w:fldChar w:fldCharType="end"/>
            </w:r>
          </w:hyperlink>
        </w:p>
        <w:p w14:paraId="199E547C" w14:textId="3DDFDEF8" w:rsidR="00D924A6" w:rsidRPr="00D924A6" w:rsidRDefault="00FF25F0">
          <w:pPr>
            <w:pStyle w:val="TDC1"/>
            <w:rPr>
              <w:sz w:val="20"/>
              <w:szCs w:val="20"/>
            </w:rPr>
          </w:pPr>
          <w:hyperlink w:anchor="_Toc32502175" w:history="1">
            <w:r w:rsidR="00D924A6" w:rsidRPr="00D924A6">
              <w:rPr>
                <w:rStyle w:val="Hipervnculo"/>
                <w:sz w:val="20"/>
                <w:szCs w:val="20"/>
              </w:rPr>
              <w:t>SEGUIMIENTO PARACLÍNICO DE LAS PERSONAS CON EXPOSICIÓN DE RIESGO ANTE EL VIH Y HEPATITIS B Y C</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_Toc32502175 \h </w:instrText>
            </w:r>
            <w:r w:rsidR="00D924A6" w:rsidRPr="00D924A6">
              <w:rPr>
                <w:webHidden/>
                <w:sz w:val="20"/>
                <w:szCs w:val="20"/>
              </w:rPr>
            </w:r>
            <w:r w:rsidR="00D924A6" w:rsidRPr="00D924A6">
              <w:rPr>
                <w:webHidden/>
                <w:sz w:val="20"/>
                <w:szCs w:val="20"/>
              </w:rPr>
              <w:fldChar w:fldCharType="separate"/>
            </w:r>
            <w:r w:rsidR="00D924A6">
              <w:rPr>
                <w:webHidden/>
                <w:sz w:val="20"/>
                <w:szCs w:val="20"/>
              </w:rPr>
              <w:t>14</w:t>
            </w:r>
            <w:r w:rsidR="00D924A6" w:rsidRPr="00D924A6">
              <w:rPr>
                <w:webHidden/>
                <w:sz w:val="20"/>
                <w:szCs w:val="20"/>
              </w:rPr>
              <w:fldChar w:fldCharType="end"/>
            </w:r>
          </w:hyperlink>
        </w:p>
        <w:p w14:paraId="6A1BD463" w14:textId="659311D7" w:rsidR="00D924A6" w:rsidRPr="00D924A6" w:rsidRDefault="00FF25F0">
          <w:pPr>
            <w:pStyle w:val="TDC1"/>
            <w:rPr>
              <w:sz w:val="20"/>
              <w:szCs w:val="20"/>
            </w:rPr>
          </w:pPr>
          <w:hyperlink w:anchor="_Toc32502176" w:history="1">
            <w:r w:rsidR="00D924A6" w:rsidRPr="00D924A6">
              <w:rPr>
                <w:rStyle w:val="Hipervnculo"/>
                <w:sz w:val="20"/>
                <w:szCs w:val="20"/>
              </w:rPr>
              <w:t>PROFILAXIS POS EXPOSICIÓN FRENTE A MENINGITIS BACTERIANA.</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_Toc32502176 \h </w:instrText>
            </w:r>
            <w:r w:rsidR="00D924A6" w:rsidRPr="00D924A6">
              <w:rPr>
                <w:webHidden/>
                <w:sz w:val="20"/>
                <w:szCs w:val="20"/>
              </w:rPr>
            </w:r>
            <w:r w:rsidR="00D924A6" w:rsidRPr="00D924A6">
              <w:rPr>
                <w:webHidden/>
                <w:sz w:val="20"/>
                <w:szCs w:val="20"/>
              </w:rPr>
              <w:fldChar w:fldCharType="separate"/>
            </w:r>
            <w:r w:rsidR="00D924A6">
              <w:rPr>
                <w:webHidden/>
                <w:sz w:val="20"/>
                <w:szCs w:val="20"/>
              </w:rPr>
              <w:t>15</w:t>
            </w:r>
            <w:r w:rsidR="00D924A6" w:rsidRPr="00D924A6">
              <w:rPr>
                <w:webHidden/>
                <w:sz w:val="20"/>
                <w:szCs w:val="20"/>
              </w:rPr>
              <w:fldChar w:fldCharType="end"/>
            </w:r>
          </w:hyperlink>
        </w:p>
        <w:p w14:paraId="48AFD4C6" w14:textId="3174350C" w:rsidR="00D924A6" w:rsidRPr="00D924A6" w:rsidRDefault="00FF25F0">
          <w:pPr>
            <w:pStyle w:val="TDC2"/>
            <w:tabs>
              <w:tab w:val="left" w:pos="880"/>
              <w:tab w:val="right" w:leader="dot" w:pos="8828"/>
            </w:tabs>
            <w:rPr>
              <w:rFonts w:ascii="Arial" w:eastAsiaTheme="minorEastAsia" w:hAnsi="Arial" w:cs="Arial"/>
              <w:b w:val="0"/>
              <w:bCs w:val="0"/>
              <w:noProof/>
              <w:sz w:val="20"/>
              <w:szCs w:val="20"/>
              <w:lang w:eastAsia="es-CO"/>
            </w:rPr>
          </w:pPr>
          <w:hyperlink w:anchor="_Toc32502177" w:history="1">
            <w:r w:rsidR="00D924A6" w:rsidRPr="00D924A6">
              <w:rPr>
                <w:rStyle w:val="Hipervnculo"/>
                <w:rFonts w:ascii="Arial" w:eastAsia="ArialMT" w:hAnsi="Arial" w:cs="Arial"/>
                <w:b w:val="0"/>
                <w:bCs w:val="0"/>
                <w:noProof/>
                <w:sz w:val="20"/>
                <w:szCs w:val="20"/>
              </w:rPr>
              <w:t>12.1</w:t>
            </w:r>
            <w:r w:rsidR="00D924A6" w:rsidRPr="00D924A6">
              <w:rPr>
                <w:rFonts w:ascii="Arial" w:eastAsiaTheme="minorEastAsia" w:hAnsi="Arial" w:cs="Arial"/>
                <w:b w:val="0"/>
                <w:bCs w:val="0"/>
                <w:noProof/>
                <w:sz w:val="20"/>
                <w:szCs w:val="20"/>
                <w:lang w:eastAsia="es-CO"/>
              </w:rPr>
              <w:tab/>
            </w:r>
            <w:r w:rsidR="00D924A6" w:rsidRPr="00D924A6">
              <w:rPr>
                <w:rStyle w:val="Hipervnculo"/>
                <w:rFonts w:ascii="Arial" w:hAnsi="Arial" w:cs="Arial"/>
                <w:b w:val="0"/>
                <w:bCs w:val="0"/>
                <w:noProof/>
                <w:sz w:val="20"/>
                <w:szCs w:val="20"/>
              </w:rPr>
              <w:t>EN CASO DE ORDENAR PROFILAXIS POR EXPOSICIÓN A LA MENINGITIS</w:t>
            </w:r>
            <w:r w:rsidR="00D924A6" w:rsidRPr="00D924A6">
              <w:rPr>
                <w:rFonts w:ascii="Arial" w:hAnsi="Arial" w:cs="Arial"/>
                <w:b w:val="0"/>
                <w:bCs w:val="0"/>
                <w:noProof/>
                <w:webHidden/>
                <w:sz w:val="20"/>
                <w:szCs w:val="20"/>
              </w:rPr>
              <w:tab/>
            </w:r>
            <w:r w:rsidR="00D924A6" w:rsidRPr="00D924A6">
              <w:rPr>
                <w:rFonts w:ascii="Arial" w:hAnsi="Arial" w:cs="Arial"/>
                <w:b w:val="0"/>
                <w:bCs w:val="0"/>
                <w:noProof/>
                <w:webHidden/>
                <w:sz w:val="20"/>
                <w:szCs w:val="20"/>
              </w:rPr>
              <w:fldChar w:fldCharType="begin"/>
            </w:r>
            <w:r w:rsidR="00D924A6" w:rsidRPr="00D924A6">
              <w:rPr>
                <w:rFonts w:ascii="Arial" w:hAnsi="Arial" w:cs="Arial"/>
                <w:b w:val="0"/>
                <w:bCs w:val="0"/>
                <w:noProof/>
                <w:webHidden/>
                <w:sz w:val="20"/>
                <w:szCs w:val="20"/>
              </w:rPr>
              <w:instrText xml:space="preserve"> PAGEREF _Toc32502177 \h </w:instrText>
            </w:r>
            <w:r w:rsidR="00D924A6" w:rsidRPr="00D924A6">
              <w:rPr>
                <w:rFonts w:ascii="Arial" w:hAnsi="Arial" w:cs="Arial"/>
                <w:b w:val="0"/>
                <w:bCs w:val="0"/>
                <w:noProof/>
                <w:webHidden/>
                <w:sz w:val="20"/>
                <w:szCs w:val="20"/>
              </w:rPr>
            </w:r>
            <w:r w:rsidR="00D924A6" w:rsidRPr="00D924A6">
              <w:rPr>
                <w:rFonts w:ascii="Arial" w:hAnsi="Arial" w:cs="Arial"/>
                <w:b w:val="0"/>
                <w:bCs w:val="0"/>
                <w:noProof/>
                <w:webHidden/>
                <w:sz w:val="20"/>
                <w:szCs w:val="20"/>
              </w:rPr>
              <w:fldChar w:fldCharType="separate"/>
            </w:r>
            <w:r w:rsidR="00D924A6">
              <w:rPr>
                <w:rFonts w:ascii="Arial" w:hAnsi="Arial" w:cs="Arial"/>
                <w:b w:val="0"/>
                <w:bCs w:val="0"/>
                <w:noProof/>
                <w:webHidden/>
                <w:sz w:val="20"/>
                <w:szCs w:val="20"/>
              </w:rPr>
              <w:t>15</w:t>
            </w:r>
            <w:r w:rsidR="00D924A6" w:rsidRPr="00D924A6">
              <w:rPr>
                <w:rFonts w:ascii="Arial" w:hAnsi="Arial" w:cs="Arial"/>
                <w:b w:val="0"/>
                <w:bCs w:val="0"/>
                <w:noProof/>
                <w:webHidden/>
                <w:sz w:val="20"/>
                <w:szCs w:val="20"/>
              </w:rPr>
              <w:fldChar w:fldCharType="end"/>
            </w:r>
          </w:hyperlink>
        </w:p>
        <w:p w14:paraId="1C827E9B" w14:textId="4646E2C0" w:rsidR="00D924A6" w:rsidRPr="00D924A6" w:rsidRDefault="00FF25F0">
          <w:pPr>
            <w:pStyle w:val="TDC1"/>
            <w:rPr>
              <w:sz w:val="20"/>
              <w:szCs w:val="20"/>
            </w:rPr>
          </w:pPr>
          <w:hyperlink w:anchor="_Toc32502178" w:history="1">
            <w:r w:rsidR="00D924A6" w:rsidRPr="00D924A6">
              <w:rPr>
                <w:rStyle w:val="Hipervnculo"/>
                <w:sz w:val="20"/>
                <w:szCs w:val="20"/>
              </w:rPr>
              <w:t>TRABAJADORES DE SALUD QUE PRESTAN ATENCIÓN A LOS PACIENTES CON DIAGNÓSTICO O PRESUNCIÓN CLÍNICA DE INFECCIÓN RESPIRATORIA AGUDA QUE PODRÍA SER MOTIVO DE PREOCUPACIÓN</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_Toc32502178 \h </w:instrText>
            </w:r>
            <w:r w:rsidR="00D924A6" w:rsidRPr="00D924A6">
              <w:rPr>
                <w:webHidden/>
                <w:sz w:val="20"/>
                <w:szCs w:val="20"/>
              </w:rPr>
            </w:r>
            <w:r w:rsidR="00D924A6" w:rsidRPr="00D924A6">
              <w:rPr>
                <w:webHidden/>
                <w:sz w:val="20"/>
                <w:szCs w:val="20"/>
              </w:rPr>
              <w:fldChar w:fldCharType="separate"/>
            </w:r>
            <w:r w:rsidR="00D924A6">
              <w:rPr>
                <w:webHidden/>
                <w:sz w:val="20"/>
                <w:szCs w:val="20"/>
              </w:rPr>
              <w:t>16</w:t>
            </w:r>
            <w:r w:rsidR="00D924A6" w:rsidRPr="00D924A6">
              <w:rPr>
                <w:webHidden/>
                <w:sz w:val="20"/>
                <w:szCs w:val="20"/>
              </w:rPr>
              <w:fldChar w:fldCharType="end"/>
            </w:r>
          </w:hyperlink>
        </w:p>
        <w:p w14:paraId="553FCF82" w14:textId="48F5D52A" w:rsidR="00D924A6" w:rsidRPr="00D924A6" w:rsidRDefault="00FF25F0">
          <w:pPr>
            <w:pStyle w:val="TDC1"/>
            <w:rPr>
              <w:sz w:val="20"/>
              <w:szCs w:val="20"/>
            </w:rPr>
          </w:pPr>
          <w:hyperlink w:anchor="_Toc32502179" w:history="1">
            <w:r w:rsidR="00D924A6" w:rsidRPr="00D924A6">
              <w:rPr>
                <w:rStyle w:val="Hipervnculo"/>
                <w:rFonts w:eastAsia="ArialMT"/>
                <w:sz w:val="20"/>
                <w:szCs w:val="20"/>
              </w:rPr>
              <w:t>BIBLIOGRAFIA</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_Toc32502179 \h </w:instrText>
            </w:r>
            <w:r w:rsidR="00D924A6" w:rsidRPr="00D924A6">
              <w:rPr>
                <w:webHidden/>
                <w:sz w:val="20"/>
                <w:szCs w:val="20"/>
              </w:rPr>
            </w:r>
            <w:r w:rsidR="00D924A6" w:rsidRPr="00D924A6">
              <w:rPr>
                <w:webHidden/>
                <w:sz w:val="20"/>
                <w:szCs w:val="20"/>
              </w:rPr>
              <w:fldChar w:fldCharType="separate"/>
            </w:r>
            <w:r w:rsidR="00D924A6">
              <w:rPr>
                <w:webHidden/>
                <w:sz w:val="20"/>
                <w:szCs w:val="20"/>
              </w:rPr>
              <w:t>16</w:t>
            </w:r>
            <w:r w:rsidR="00D924A6" w:rsidRPr="00D924A6">
              <w:rPr>
                <w:webHidden/>
                <w:sz w:val="20"/>
                <w:szCs w:val="20"/>
              </w:rPr>
              <w:fldChar w:fldCharType="end"/>
            </w:r>
          </w:hyperlink>
        </w:p>
        <w:p w14:paraId="27441D8F" w14:textId="79415057" w:rsidR="00D924A6" w:rsidRPr="00D924A6" w:rsidRDefault="00FF25F0" w:rsidP="00DA0E5A">
          <w:pPr>
            <w:pStyle w:val="TDC1"/>
          </w:pPr>
          <w:hyperlink w:anchor="_Toc32502180" w:history="1">
            <w:r w:rsidR="00D924A6" w:rsidRPr="00D924A6">
              <w:rPr>
                <w:rStyle w:val="Hipervnculo"/>
                <w:sz w:val="20"/>
                <w:szCs w:val="20"/>
              </w:rPr>
              <w:t>CONTROL DE REVISIONES Y CAMBIOS DEL DOCUMENTO</w:t>
            </w:r>
            <w:r w:rsidR="00D924A6" w:rsidRPr="00D924A6">
              <w:rPr>
                <w:webHidden/>
                <w:sz w:val="20"/>
                <w:szCs w:val="20"/>
              </w:rPr>
              <w:tab/>
            </w:r>
            <w:r w:rsidR="00D924A6" w:rsidRPr="00D924A6">
              <w:rPr>
                <w:webHidden/>
                <w:sz w:val="20"/>
                <w:szCs w:val="20"/>
              </w:rPr>
              <w:fldChar w:fldCharType="begin"/>
            </w:r>
            <w:r w:rsidR="00D924A6" w:rsidRPr="00D924A6">
              <w:rPr>
                <w:webHidden/>
                <w:sz w:val="20"/>
                <w:szCs w:val="20"/>
              </w:rPr>
              <w:instrText xml:space="preserve"> PAGEREF _Toc32502180 \h </w:instrText>
            </w:r>
            <w:r w:rsidR="00D924A6" w:rsidRPr="00D924A6">
              <w:rPr>
                <w:webHidden/>
                <w:sz w:val="20"/>
                <w:szCs w:val="20"/>
              </w:rPr>
            </w:r>
            <w:r w:rsidR="00D924A6" w:rsidRPr="00D924A6">
              <w:rPr>
                <w:webHidden/>
                <w:sz w:val="20"/>
                <w:szCs w:val="20"/>
              </w:rPr>
              <w:fldChar w:fldCharType="separate"/>
            </w:r>
            <w:r w:rsidR="00D924A6">
              <w:rPr>
                <w:webHidden/>
                <w:sz w:val="20"/>
                <w:szCs w:val="20"/>
              </w:rPr>
              <w:t>17</w:t>
            </w:r>
            <w:r w:rsidR="00D924A6" w:rsidRPr="00D924A6">
              <w:rPr>
                <w:webHidden/>
                <w:sz w:val="20"/>
                <w:szCs w:val="20"/>
              </w:rPr>
              <w:fldChar w:fldCharType="end"/>
            </w:r>
          </w:hyperlink>
          <w:r w:rsidR="00D924A6" w:rsidRPr="00D924A6">
            <w:rPr>
              <w:sz w:val="20"/>
              <w:szCs w:val="20"/>
              <w:lang w:val="es-ES"/>
            </w:rPr>
            <w:fldChar w:fldCharType="end"/>
          </w:r>
        </w:p>
      </w:sdtContent>
    </w:sdt>
    <w:p w14:paraId="6A36A64D" w14:textId="09D3F348" w:rsidR="00781642" w:rsidRPr="00D924A6" w:rsidRDefault="00781642" w:rsidP="00D924A6">
      <w:pPr>
        <w:jc w:val="both"/>
        <w:rPr>
          <w:rFonts w:ascii="Arial" w:eastAsia="Times New Roman" w:hAnsi="Arial" w:cs="Arial"/>
          <w:b/>
          <w:color w:val="000000"/>
          <w:lang w:eastAsia="es-CO"/>
        </w:rPr>
      </w:pPr>
    </w:p>
    <w:p w14:paraId="4D54755B" w14:textId="77777777" w:rsidR="001B09EC" w:rsidRPr="002F0AC5" w:rsidRDefault="001B09EC" w:rsidP="00532CAC">
      <w:pPr>
        <w:pStyle w:val="Ttulo1"/>
        <w:numPr>
          <w:ilvl w:val="0"/>
          <w:numId w:val="6"/>
        </w:numPr>
        <w:spacing w:after="240"/>
      </w:pPr>
      <w:bookmarkStart w:id="0" w:name="_Toc32502160"/>
      <w:r w:rsidRPr="002F0AC5">
        <w:lastRenderedPageBreak/>
        <w:t>OBJETIVO</w:t>
      </w:r>
      <w:bookmarkEnd w:id="0"/>
    </w:p>
    <w:p w14:paraId="3D4C24B8" w14:textId="2AF891BF" w:rsidR="001B09EC" w:rsidRPr="002F0AC5" w:rsidRDefault="004611CF" w:rsidP="004611CF">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El presente documento tiene como objetivo, definir directrices de intervención para los diferentes agentes involucrados en la atención de personas con exposición de riesgo laboral o no laboral ante las Infecciones, el Virus de la Inmunodeficiencia humana (VIH)</w:t>
      </w:r>
      <w:r w:rsidR="004B7F42" w:rsidRPr="002F0AC5">
        <w:rPr>
          <w:rFonts w:ascii="Arial" w:eastAsia="ArialMT" w:hAnsi="Arial" w:cs="Arial"/>
        </w:rPr>
        <w:t xml:space="preserve">,  </w:t>
      </w:r>
      <w:r w:rsidRPr="002F0AC5">
        <w:rPr>
          <w:rFonts w:ascii="Arial" w:eastAsia="ArialMT" w:hAnsi="Arial" w:cs="Arial"/>
        </w:rPr>
        <w:t>las Hepatitis B y C</w:t>
      </w:r>
      <w:r w:rsidR="004B7F42" w:rsidRPr="002F0AC5">
        <w:rPr>
          <w:rFonts w:ascii="Arial" w:eastAsia="ArialMT" w:hAnsi="Arial" w:cs="Arial"/>
        </w:rPr>
        <w:t>, entre otras</w:t>
      </w:r>
      <w:r w:rsidRPr="002F0AC5">
        <w:rPr>
          <w:rFonts w:ascii="Arial" w:eastAsia="ArialMT" w:hAnsi="Arial" w:cs="Arial"/>
        </w:rPr>
        <w:t>; en el marco del Sistema de Seguridad Social en Salud de Colombia, el Protocolo insta a adoptar e implementar las directrices para actuación efectiva en pro de la prevención de la transmisión de las infecciones ya mencionadas, desde la evaluación del riesgo, la administración de profilaxis farmacológica y el seguimiento de las personas expuestas que hayan recibido o no la profilaxis.</w:t>
      </w:r>
    </w:p>
    <w:p w14:paraId="7838D3B4" w14:textId="77777777" w:rsidR="001B09EC" w:rsidRPr="002F0AC5" w:rsidRDefault="001B09EC" w:rsidP="00532CAC">
      <w:pPr>
        <w:pStyle w:val="Ttulo1"/>
        <w:numPr>
          <w:ilvl w:val="0"/>
          <w:numId w:val="6"/>
        </w:numPr>
        <w:spacing w:after="240"/>
      </w:pPr>
      <w:bookmarkStart w:id="1" w:name="_Toc32502161"/>
      <w:r w:rsidRPr="002F0AC5">
        <w:t>ALCANCE</w:t>
      </w:r>
      <w:bookmarkEnd w:id="1"/>
    </w:p>
    <w:p w14:paraId="29D35DB2" w14:textId="77777777" w:rsidR="001B09EC" w:rsidRPr="002F0AC5" w:rsidRDefault="004611CF" w:rsidP="001B09EC">
      <w:pPr>
        <w:jc w:val="both"/>
        <w:rPr>
          <w:rFonts w:ascii="Arial" w:hAnsi="Arial" w:cs="Arial"/>
          <w:b/>
        </w:rPr>
      </w:pPr>
      <w:r w:rsidRPr="002F0AC5">
        <w:rPr>
          <w:rFonts w:ascii="Arial" w:hAnsi="Arial" w:cs="Arial"/>
        </w:rPr>
        <w:t>Aplica a todo el personal que labora en la Institución y que está expuesta al riesgo Biológico</w:t>
      </w:r>
    </w:p>
    <w:p w14:paraId="2CBE4324" w14:textId="77777777" w:rsidR="001B09EC" w:rsidRPr="002F0AC5" w:rsidRDefault="001B09EC" w:rsidP="00532CAC">
      <w:pPr>
        <w:pStyle w:val="Ttulo1"/>
        <w:numPr>
          <w:ilvl w:val="0"/>
          <w:numId w:val="6"/>
        </w:numPr>
        <w:spacing w:after="240"/>
      </w:pPr>
      <w:bookmarkStart w:id="2" w:name="_Toc32502162"/>
      <w:r w:rsidRPr="002F0AC5">
        <w:t>TÉRMINOS Y DEFINICIONES</w:t>
      </w:r>
      <w:bookmarkEnd w:id="2"/>
    </w:p>
    <w:p w14:paraId="3ACFF633" w14:textId="2F5661DA" w:rsidR="004611CF" w:rsidRPr="002F0AC5" w:rsidRDefault="002F0AC5" w:rsidP="005E2F98">
      <w:pPr>
        <w:autoSpaceDE w:val="0"/>
        <w:autoSpaceDN w:val="0"/>
        <w:adjustRightInd w:val="0"/>
        <w:spacing w:after="0" w:line="240" w:lineRule="auto"/>
        <w:jc w:val="both"/>
        <w:rPr>
          <w:rFonts w:ascii="Arial" w:eastAsia="ArialMT" w:hAnsi="Arial" w:cs="Arial"/>
        </w:rPr>
      </w:pPr>
      <w:r w:rsidRPr="002F0AC5">
        <w:rPr>
          <w:rFonts w:ascii="Arial" w:hAnsi="Arial" w:cs="Arial"/>
          <w:b/>
          <w:bCs/>
          <w:color w:val="000000" w:themeColor="text1"/>
        </w:rPr>
        <w:t>EXPOSICIÓN DE RIESGO OCUPACIONAL:</w:t>
      </w:r>
      <w:r w:rsidR="005E2F98" w:rsidRPr="002F0AC5">
        <w:rPr>
          <w:rFonts w:ascii="Arial" w:hAnsi="Arial" w:cs="Arial"/>
          <w:b/>
          <w:bCs/>
          <w:color w:val="000000" w:themeColor="text1"/>
        </w:rPr>
        <w:t xml:space="preserve"> </w:t>
      </w:r>
      <w:r w:rsidR="005E2F98" w:rsidRPr="002F0AC5">
        <w:rPr>
          <w:rFonts w:ascii="Arial" w:eastAsia="ArialMT" w:hAnsi="Arial" w:cs="Arial"/>
        </w:rPr>
        <w:t xml:space="preserve">Es el contacto de membranas mucosas, piel no intacta o exposición percutánea por herida con objeto corto punzante por parte de un trabajador por causa o con ocasión o a consecuencia de la realización de un trabajo u oficio, con fluidos potencialmente infectantes (sangre, liquido </w:t>
      </w:r>
      <w:proofErr w:type="spellStart"/>
      <w:r w:rsidR="005E2F98" w:rsidRPr="002F0AC5">
        <w:rPr>
          <w:rFonts w:ascii="Arial" w:eastAsia="ArialMT" w:hAnsi="Arial" w:cs="Arial"/>
        </w:rPr>
        <w:t>cefalo-raquideo</w:t>
      </w:r>
      <w:proofErr w:type="spellEnd"/>
      <w:r w:rsidR="005E2F98" w:rsidRPr="002F0AC5">
        <w:rPr>
          <w:rFonts w:ascii="Arial" w:eastAsia="ArialMT" w:hAnsi="Arial" w:cs="Arial"/>
        </w:rPr>
        <w:t>, liquido sinovial, liquido pleural, liquido peritoneal, liquido pericárdico, líquido amniótico, semen y secreciones vaginales o cualquier secreción visiblemente contaminada con sangre, y que puede suponer un riesgo de infección a través del mismo).</w:t>
      </w:r>
    </w:p>
    <w:p w14:paraId="5724DFAA" w14:textId="77777777" w:rsidR="00CC5F86" w:rsidRPr="002F0AC5" w:rsidRDefault="00CC5F86" w:rsidP="005E2F98">
      <w:pPr>
        <w:autoSpaceDE w:val="0"/>
        <w:autoSpaceDN w:val="0"/>
        <w:adjustRightInd w:val="0"/>
        <w:spacing w:after="0" w:line="240" w:lineRule="auto"/>
        <w:jc w:val="both"/>
        <w:rPr>
          <w:rFonts w:ascii="Arial" w:eastAsia="ArialMT" w:hAnsi="Arial" w:cs="Arial"/>
        </w:rPr>
      </w:pPr>
    </w:p>
    <w:p w14:paraId="3CA54E21" w14:textId="36C91A8C" w:rsidR="00CC5F86" w:rsidRPr="002F0AC5" w:rsidRDefault="00CC5F86" w:rsidP="00CC5F86">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Las exposiciones percutáneas son más riesgosas para la transmisión del VIH que las mucosas. Según el CDC, el riesgo promedio de seroconversión del VIH después de una </w:t>
      </w:r>
      <w:r w:rsidR="004B7F42" w:rsidRPr="002F0AC5">
        <w:rPr>
          <w:rFonts w:ascii="Arial" w:eastAsia="ArialMT" w:hAnsi="Arial" w:cs="Arial"/>
        </w:rPr>
        <w:t>exposición ocupacional (</w:t>
      </w:r>
      <w:r w:rsidRPr="002F0AC5">
        <w:rPr>
          <w:rFonts w:ascii="Arial" w:eastAsia="ArialMT" w:hAnsi="Arial" w:cs="Arial"/>
        </w:rPr>
        <w:t>EO</w:t>
      </w:r>
      <w:r w:rsidR="004B7F42" w:rsidRPr="002F0AC5">
        <w:rPr>
          <w:rFonts w:ascii="Arial" w:eastAsia="ArialMT" w:hAnsi="Arial" w:cs="Arial"/>
        </w:rPr>
        <w:t>)</w:t>
      </w:r>
      <w:r w:rsidRPr="002F0AC5">
        <w:rPr>
          <w:rFonts w:ascii="Arial" w:eastAsia="ArialMT" w:hAnsi="Arial" w:cs="Arial"/>
        </w:rPr>
        <w:t xml:space="preserve"> percutánea es aproximadamente del 0,3% (IC 95%:0.2 a 0,5%), lo que supone 3 infecciones por cada 1000 incidentes. Tras la exposición de mucosas, el riesgo se reduce al 0,09% (IC 95%: 0,006 a 0,5%), siendo incluso menor cuando el contacto es con piel no intacta.</w:t>
      </w:r>
    </w:p>
    <w:p w14:paraId="2CB32BDF" w14:textId="77777777" w:rsidR="00CC5F86" w:rsidRPr="002F0AC5" w:rsidRDefault="00CC5F86" w:rsidP="00CC5F86">
      <w:pPr>
        <w:autoSpaceDE w:val="0"/>
        <w:autoSpaceDN w:val="0"/>
        <w:adjustRightInd w:val="0"/>
        <w:spacing w:after="0" w:line="240" w:lineRule="auto"/>
        <w:rPr>
          <w:rFonts w:ascii="Arial" w:eastAsia="ArialMT" w:hAnsi="Arial" w:cs="Arial"/>
        </w:rPr>
      </w:pPr>
    </w:p>
    <w:p w14:paraId="70A6C25B" w14:textId="77777777" w:rsidR="00CC5F86" w:rsidRPr="002F0AC5" w:rsidRDefault="00CC5F86" w:rsidP="00CC5F86">
      <w:pPr>
        <w:autoSpaceDE w:val="0"/>
        <w:autoSpaceDN w:val="0"/>
        <w:adjustRightInd w:val="0"/>
        <w:spacing w:after="0" w:line="240" w:lineRule="auto"/>
        <w:rPr>
          <w:rFonts w:ascii="Arial" w:eastAsia="ArialMT" w:hAnsi="Arial" w:cs="Arial"/>
        </w:rPr>
      </w:pPr>
      <w:r w:rsidRPr="002F0AC5">
        <w:rPr>
          <w:rFonts w:ascii="Arial" w:eastAsia="ArialMT" w:hAnsi="Arial" w:cs="Arial"/>
        </w:rPr>
        <w:t>Códigos CIE 10:</w:t>
      </w:r>
    </w:p>
    <w:p w14:paraId="487B0DAD" w14:textId="77777777" w:rsidR="00CC5F86" w:rsidRPr="002F0AC5" w:rsidRDefault="00CC5F86" w:rsidP="00CC5F86">
      <w:pPr>
        <w:autoSpaceDE w:val="0"/>
        <w:autoSpaceDN w:val="0"/>
        <w:adjustRightInd w:val="0"/>
        <w:spacing w:after="0" w:line="240" w:lineRule="auto"/>
        <w:rPr>
          <w:rFonts w:ascii="Arial" w:eastAsia="ArialMT" w:hAnsi="Arial" w:cs="Arial"/>
        </w:rPr>
      </w:pPr>
    </w:p>
    <w:p w14:paraId="33C87FFD" w14:textId="77777777" w:rsidR="00CC5F86" w:rsidRPr="002F0AC5" w:rsidRDefault="00CC5F86" w:rsidP="00CC5F86">
      <w:pPr>
        <w:autoSpaceDE w:val="0"/>
        <w:autoSpaceDN w:val="0"/>
        <w:adjustRightInd w:val="0"/>
        <w:spacing w:after="0" w:line="240" w:lineRule="auto"/>
        <w:rPr>
          <w:rFonts w:ascii="Arial" w:eastAsia="ArialMT" w:hAnsi="Arial" w:cs="Arial"/>
        </w:rPr>
      </w:pPr>
      <w:r w:rsidRPr="002F0AC5">
        <w:rPr>
          <w:rFonts w:ascii="Arial" w:eastAsia="ArialMT" w:hAnsi="Arial" w:cs="Arial"/>
        </w:rPr>
        <w:t>− Z205: “Contacto con y exposición a Hepatitis Virales”.</w:t>
      </w:r>
    </w:p>
    <w:p w14:paraId="2DE2D418" w14:textId="77777777" w:rsidR="00CC5F86" w:rsidRPr="002F0AC5" w:rsidRDefault="00CC5F86" w:rsidP="00CC5F86">
      <w:pPr>
        <w:autoSpaceDE w:val="0"/>
        <w:autoSpaceDN w:val="0"/>
        <w:adjustRightInd w:val="0"/>
        <w:spacing w:after="0" w:line="240" w:lineRule="auto"/>
        <w:rPr>
          <w:rFonts w:ascii="Arial" w:eastAsia="ArialMT" w:hAnsi="Arial" w:cs="Arial"/>
        </w:rPr>
      </w:pPr>
      <w:r w:rsidRPr="002F0AC5">
        <w:rPr>
          <w:rFonts w:ascii="Arial" w:eastAsia="ArialMT" w:hAnsi="Arial" w:cs="Arial"/>
        </w:rPr>
        <w:t>− Z206: “Contacto con y exposición al Virus de la Inmunodeficiencia Humana”.</w:t>
      </w:r>
    </w:p>
    <w:p w14:paraId="71EF659F" w14:textId="77777777" w:rsidR="00CC5F86" w:rsidRPr="002F0AC5" w:rsidRDefault="00CC5F86" w:rsidP="00CC5F86">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Z208: “Contacto con y exposición a otras enfermedades transmisibles”.</w:t>
      </w:r>
    </w:p>
    <w:p w14:paraId="081A7ADA" w14:textId="77777777" w:rsidR="004611CF" w:rsidRPr="002F0AC5" w:rsidRDefault="005E2F98" w:rsidP="005E2F98">
      <w:pPr>
        <w:pStyle w:val="Prrafodelista"/>
        <w:tabs>
          <w:tab w:val="left" w:pos="6750"/>
        </w:tabs>
        <w:spacing w:after="0" w:line="240" w:lineRule="auto"/>
        <w:jc w:val="both"/>
        <w:rPr>
          <w:rFonts w:ascii="Arial" w:hAnsi="Arial" w:cs="Arial"/>
        </w:rPr>
      </w:pPr>
      <w:r w:rsidRPr="002F0AC5">
        <w:rPr>
          <w:rFonts w:ascii="Arial" w:hAnsi="Arial" w:cs="Arial"/>
        </w:rPr>
        <w:tab/>
      </w:r>
    </w:p>
    <w:p w14:paraId="26F87692" w14:textId="4FDF0098" w:rsidR="001B09EC" w:rsidRPr="002F0AC5" w:rsidRDefault="002F0AC5" w:rsidP="002F0AC5">
      <w:pPr>
        <w:autoSpaceDE w:val="0"/>
        <w:autoSpaceDN w:val="0"/>
        <w:adjustRightInd w:val="0"/>
        <w:spacing w:line="240" w:lineRule="auto"/>
        <w:jc w:val="both"/>
        <w:rPr>
          <w:rFonts w:ascii="Arial" w:eastAsia="ArialMT" w:hAnsi="Arial" w:cs="Arial"/>
        </w:rPr>
      </w:pPr>
      <w:r w:rsidRPr="002F0AC5">
        <w:rPr>
          <w:rFonts w:ascii="Arial" w:hAnsi="Arial" w:cs="Arial"/>
          <w:b/>
          <w:bCs/>
          <w:color w:val="000000" w:themeColor="text1"/>
        </w:rPr>
        <w:t xml:space="preserve">GRUPOS OCUPACIONALES A RIESGO PARA VIRUS DE LA INMUNODEFICIENCIA HUMANA (VIH): </w:t>
      </w:r>
      <w:r w:rsidR="00CC5F86" w:rsidRPr="002F0AC5">
        <w:rPr>
          <w:rFonts w:ascii="Arial" w:eastAsia="ArialMT" w:hAnsi="Arial" w:cs="Arial"/>
        </w:rPr>
        <w:t>Trabajadores de la salud, recolectores de residuos biológicos, fuerzas armadas y policiales, cuerpos de socorro, personas que trabajan con poblaciones en contextos de vulnerabilidad (</w:t>
      </w:r>
      <w:r w:rsidR="00826B4B" w:rsidRPr="002F0AC5">
        <w:rPr>
          <w:rFonts w:ascii="Arial" w:eastAsia="ArialMT" w:hAnsi="Arial" w:cs="Arial"/>
        </w:rPr>
        <w:t>víctimas</w:t>
      </w:r>
      <w:r w:rsidR="00CC5F86" w:rsidRPr="002F0AC5">
        <w:rPr>
          <w:rFonts w:ascii="Arial" w:eastAsia="ArialMT" w:hAnsi="Arial" w:cs="Arial"/>
        </w:rPr>
        <w:t xml:space="preserve"> de catástrofes naturales, accidentes o personas en contextos humanitarios, personas que consumen sustancias psicoactivas por vía inyectada, habitantes de calle, entre otros) y que debido a su trabajo se vean expuestas al contacto con fluidos corporales infectantes (pinchazos o salpicaduras), tatuadores, personas que realizan algún tipo de perforación o expansión en alguna parte del cuerpo, peluqueros, </w:t>
      </w:r>
      <w:r w:rsidR="00CC5F86" w:rsidRPr="002F0AC5">
        <w:rPr>
          <w:rFonts w:ascii="Arial" w:eastAsia="ArialMT" w:hAnsi="Arial" w:cs="Arial"/>
        </w:rPr>
        <w:lastRenderedPageBreak/>
        <w:t>trabajadores sexuales, personas que manipulan cadáveres (en tanatopraxia, medicina legal, fiscalía o similares). Personas que realizan el aseo en hoteles o similares (desecho inadecuado de objetos corto-punzantes)</w:t>
      </w:r>
      <w:r w:rsidR="003B7766" w:rsidRPr="002F0AC5">
        <w:rPr>
          <w:rFonts w:ascii="Arial" w:eastAsia="ArialMT" w:hAnsi="Arial" w:cs="Arial"/>
        </w:rPr>
        <w:t>,</w:t>
      </w:r>
      <w:r w:rsidR="00CC5F86" w:rsidRPr="002F0AC5">
        <w:rPr>
          <w:rFonts w:ascii="Arial" w:eastAsia="ArialMT" w:hAnsi="Arial" w:cs="Arial"/>
        </w:rPr>
        <w:t xml:space="preserve"> </w:t>
      </w:r>
      <w:r w:rsidR="003B7766" w:rsidRPr="002F0AC5">
        <w:rPr>
          <w:rFonts w:ascii="Arial" w:eastAsia="ArialMT" w:hAnsi="Arial" w:cs="Arial"/>
        </w:rPr>
        <w:t>r</w:t>
      </w:r>
      <w:r w:rsidR="00CC5F86" w:rsidRPr="002F0AC5">
        <w:rPr>
          <w:rFonts w:ascii="Arial" w:eastAsia="ArialMT" w:hAnsi="Arial" w:cs="Arial"/>
        </w:rPr>
        <w:t>ecolectores de basura y recicladores.</w:t>
      </w:r>
    </w:p>
    <w:p w14:paraId="2D0E6A47" w14:textId="362AE113" w:rsidR="001B09EC" w:rsidRPr="002F0AC5" w:rsidRDefault="002F0AC5" w:rsidP="0064613D">
      <w:pPr>
        <w:autoSpaceDE w:val="0"/>
        <w:autoSpaceDN w:val="0"/>
        <w:adjustRightInd w:val="0"/>
        <w:spacing w:after="0" w:line="240" w:lineRule="auto"/>
        <w:jc w:val="both"/>
        <w:rPr>
          <w:rFonts w:ascii="Arial" w:eastAsia="ArialMT" w:hAnsi="Arial" w:cs="Arial"/>
        </w:rPr>
      </w:pPr>
      <w:r w:rsidRPr="002F0AC5">
        <w:rPr>
          <w:rFonts w:ascii="Arial" w:hAnsi="Arial" w:cs="Arial"/>
          <w:b/>
          <w:bCs/>
          <w:color w:val="000000" w:themeColor="text1"/>
        </w:rPr>
        <w:t>GRUPOS OCUPACIONALES A RIESGO PARA EL VIRUS DE LA HEPATITIS B (VHB)</w:t>
      </w:r>
      <w:r w:rsidRPr="002F0AC5">
        <w:rPr>
          <w:rFonts w:ascii="Arial" w:eastAsia="ArialMT" w:hAnsi="Arial" w:cs="Arial"/>
          <w:color w:val="000000" w:themeColor="text1"/>
        </w:rPr>
        <w:t xml:space="preserve">: </w:t>
      </w:r>
      <w:r w:rsidR="00CC5F86" w:rsidRPr="002F0AC5">
        <w:rPr>
          <w:rFonts w:ascii="Arial" w:eastAsia="ArialMT" w:hAnsi="Arial" w:cs="Arial"/>
        </w:rPr>
        <w:t>Personas perteneciente</w:t>
      </w:r>
      <w:r w:rsidR="0064613D" w:rsidRPr="002F0AC5">
        <w:rPr>
          <w:rFonts w:ascii="Arial" w:eastAsia="ArialMT" w:hAnsi="Arial" w:cs="Arial"/>
        </w:rPr>
        <w:t xml:space="preserve">s al sector salud (laboratorio, </w:t>
      </w:r>
      <w:r w:rsidR="00CC5F86" w:rsidRPr="002F0AC5">
        <w:rPr>
          <w:rFonts w:ascii="Arial" w:eastAsia="ArialMT" w:hAnsi="Arial" w:cs="Arial"/>
        </w:rPr>
        <w:t>patología, cirugía, banco de sangre, hemodiálisis, morgue, atención de emergencias médicas</w:t>
      </w:r>
      <w:r w:rsidR="0064613D" w:rsidRPr="002F0AC5">
        <w:rPr>
          <w:rFonts w:ascii="Arial" w:eastAsia="ArialMT" w:hAnsi="Arial" w:cs="Arial"/>
        </w:rPr>
        <w:t xml:space="preserve">, </w:t>
      </w:r>
      <w:r w:rsidR="00CC5F86" w:rsidRPr="002F0AC5">
        <w:rPr>
          <w:rFonts w:ascii="Arial" w:eastAsia="ArialMT" w:hAnsi="Arial" w:cs="Arial"/>
        </w:rPr>
        <w:t>paramédicos y odontología, salas de cirugía entre otros). Trabajadores que manejan patógenos</w:t>
      </w:r>
      <w:r w:rsidR="0064613D" w:rsidRPr="002F0AC5">
        <w:rPr>
          <w:rFonts w:ascii="Arial" w:eastAsia="ArialMT" w:hAnsi="Arial" w:cs="Arial"/>
        </w:rPr>
        <w:t xml:space="preserve"> en </w:t>
      </w:r>
      <w:r w:rsidR="00CC5F86" w:rsidRPr="002F0AC5">
        <w:rPr>
          <w:rFonts w:ascii="Arial" w:eastAsia="ArialMT" w:hAnsi="Arial" w:cs="Arial"/>
        </w:rPr>
        <w:t>laboratorios de investigación. Trabajadores sexuales5. Personas que laboran en institu</w:t>
      </w:r>
      <w:r w:rsidR="0064613D" w:rsidRPr="002F0AC5">
        <w:rPr>
          <w:rFonts w:ascii="Arial" w:eastAsia="ArialMT" w:hAnsi="Arial" w:cs="Arial"/>
        </w:rPr>
        <w:t xml:space="preserve">ciones con </w:t>
      </w:r>
      <w:r w:rsidR="00CC5F86" w:rsidRPr="002F0AC5">
        <w:rPr>
          <w:rFonts w:ascii="Arial" w:eastAsia="ArialMT" w:hAnsi="Arial" w:cs="Arial"/>
        </w:rPr>
        <w:t xml:space="preserve">población cautiva (Por ejemplo: cárceles, personas con deficiencia </w:t>
      </w:r>
      <w:r w:rsidR="0064613D" w:rsidRPr="002F0AC5">
        <w:rPr>
          <w:rFonts w:ascii="Arial" w:eastAsia="ArialMT" w:hAnsi="Arial" w:cs="Arial"/>
        </w:rPr>
        <w:t xml:space="preserve">cognitiva, hogares de paso para </w:t>
      </w:r>
      <w:r w:rsidR="00CC5F86" w:rsidRPr="002F0AC5">
        <w:rPr>
          <w:rFonts w:ascii="Arial" w:eastAsia="ArialMT" w:hAnsi="Arial" w:cs="Arial"/>
        </w:rPr>
        <w:t>niños que están en proceso de adopción y que provengan de zonas endémicas</w:t>
      </w:r>
      <w:r w:rsidR="0064613D" w:rsidRPr="002F0AC5">
        <w:rPr>
          <w:rFonts w:ascii="Arial" w:eastAsia="ArialMT" w:hAnsi="Arial" w:cs="Arial"/>
        </w:rPr>
        <w:t xml:space="preserve"> para HB.</w:t>
      </w:r>
      <w:r>
        <w:rPr>
          <w:rFonts w:ascii="Arial" w:eastAsia="ArialMT" w:hAnsi="Arial" w:cs="Arial"/>
        </w:rPr>
        <w:t xml:space="preserve"> </w:t>
      </w:r>
      <w:r w:rsidR="00CC5F86" w:rsidRPr="002F0AC5">
        <w:rPr>
          <w:rFonts w:ascii="Arial" w:eastAsia="ArialMT" w:hAnsi="Arial" w:cs="Arial"/>
        </w:rPr>
        <w:t>Trabajadores que viajan a áreas endémicas sin adecuada protección.</w:t>
      </w:r>
      <w:r w:rsidR="0064613D" w:rsidRPr="002F0AC5">
        <w:rPr>
          <w:rFonts w:ascii="Arial" w:eastAsia="ArialMT" w:hAnsi="Arial" w:cs="Arial"/>
        </w:rPr>
        <w:t xml:space="preserve"> Servicios funerarios. Personas </w:t>
      </w:r>
      <w:r w:rsidR="00CC5F86" w:rsidRPr="002F0AC5">
        <w:rPr>
          <w:rFonts w:ascii="Arial" w:eastAsia="ArialMT" w:hAnsi="Arial" w:cs="Arial"/>
        </w:rPr>
        <w:t>que laboran en sitios de procedimientos estéticos y no asociados al</w:t>
      </w:r>
      <w:r w:rsidR="0064613D" w:rsidRPr="002F0AC5">
        <w:rPr>
          <w:rFonts w:ascii="Arial" w:eastAsia="ArialMT" w:hAnsi="Arial" w:cs="Arial"/>
        </w:rPr>
        <w:t xml:space="preserve"> cuidado de la salud tales </w:t>
      </w:r>
      <w:proofErr w:type="spellStart"/>
      <w:r w:rsidR="0064613D" w:rsidRPr="002F0AC5">
        <w:rPr>
          <w:rFonts w:ascii="Arial" w:eastAsia="ArialMT" w:hAnsi="Arial" w:cs="Arial"/>
        </w:rPr>
        <w:t>como</w:t>
      </w:r>
      <w:r w:rsidR="00CC5F86" w:rsidRPr="002F0AC5">
        <w:rPr>
          <w:rFonts w:ascii="Arial" w:hAnsi="Arial" w:cs="Arial"/>
          <w:i/>
          <w:iCs/>
        </w:rPr>
        <w:t>piercing</w:t>
      </w:r>
      <w:proofErr w:type="spellEnd"/>
      <w:r w:rsidR="00CC5F86" w:rsidRPr="002F0AC5">
        <w:rPr>
          <w:rFonts w:ascii="Arial" w:eastAsia="ArialMT" w:hAnsi="Arial" w:cs="Arial"/>
        </w:rPr>
        <w:t xml:space="preserve">, tatuajes, </w:t>
      </w:r>
      <w:proofErr w:type="spellStart"/>
      <w:r w:rsidR="00CC5F86" w:rsidRPr="002F0AC5">
        <w:rPr>
          <w:rFonts w:ascii="Arial" w:eastAsia="ArialMT" w:hAnsi="Arial" w:cs="Arial"/>
        </w:rPr>
        <w:t>micro-pigmentación</w:t>
      </w:r>
      <w:proofErr w:type="spellEnd"/>
      <w:r w:rsidR="00CC5F86" w:rsidRPr="002F0AC5">
        <w:rPr>
          <w:rFonts w:ascii="Arial" w:eastAsia="ArialMT" w:hAnsi="Arial" w:cs="Arial"/>
        </w:rPr>
        <w:t xml:space="preserve"> o de modificaciones corpor</w:t>
      </w:r>
      <w:r w:rsidR="0064613D" w:rsidRPr="002F0AC5">
        <w:rPr>
          <w:rFonts w:ascii="Arial" w:eastAsia="ArialMT" w:hAnsi="Arial" w:cs="Arial"/>
        </w:rPr>
        <w:t xml:space="preserve">ales, entre otros. Personas que </w:t>
      </w:r>
      <w:r w:rsidR="00CC5F86" w:rsidRPr="002F0AC5">
        <w:rPr>
          <w:rFonts w:ascii="Arial" w:eastAsia="ArialMT" w:hAnsi="Arial" w:cs="Arial"/>
        </w:rPr>
        <w:t>manipulan cadáveres (en tanatopraxia, medicina legal, fiscalía o simil</w:t>
      </w:r>
      <w:r w:rsidR="0064613D" w:rsidRPr="002F0AC5">
        <w:rPr>
          <w:rFonts w:ascii="Arial" w:eastAsia="ArialMT" w:hAnsi="Arial" w:cs="Arial"/>
        </w:rPr>
        <w:t xml:space="preserve">ares). Personas que realizan el </w:t>
      </w:r>
      <w:r w:rsidR="00CC5F86" w:rsidRPr="002F0AC5">
        <w:rPr>
          <w:rFonts w:ascii="Arial" w:eastAsia="ArialMT" w:hAnsi="Arial" w:cs="Arial"/>
        </w:rPr>
        <w:t>aseo en hoteles o similares (desecho inadecuado de objetos corto punzantes</w:t>
      </w:r>
      <w:r w:rsidR="0064613D" w:rsidRPr="002F0AC5">
        <w:rPr>
          <w:rFonts w:ascii="Arial" w:eastAsia="ArialMT" w:hAnsi="Arial" w:cs="Arial"/>
        </w:rPr>
        <w:t xml:space="preserve">). Recolectores de basura </w:t>
      </w:r>
      <w:r w:rsidR="00CC5F86" w:rsidRPr="002F0AC5">
        <w:rPr>
          <w:rFonts w:ascii="Arial" w:eastAsia="ArialMT" w:hAnsi="Arial" w:cs="Arial"/>
        </w:rPr>
        <w:t>y recicladores.</w:t>
      </w:r>
    </w:p>
    <w:p w14:paraId="096CFFED" w14:textId="27A3B07E" w:rsidR="001B09EC" w:rsidRPr="002F0AC5" w:rsidRDefault="002F0AC5" w:rsidP="002F0AC5">
      <w:pPr>
        <w:autoSpaceDE w:val="0"/>
        <w:autoSpaceDN w:val="0"/>
        <w:adjustRightInd w:val="0"/>
        <w:spacing w:before="240" w:after="0" w:line="240" w:lineRule="auto"/>
        <w:jc w:val="both"/>
        <w:rPr>
          <w:rFonts w:ascii="Arial" w:eastAsia="ArialMT" w:hAnsi="Arial" w:cs="Arial"/>
        </w:rPr>
      </w:pPr>
      <w:r w:rsidRPr="002F0AC5">
        <w:rPr>
          <w:rFonts w:ascii="Arial" w:hAnsi="Arial" w:cs="Arial"/>
          <w:b/>
          <w:bCs/>
          <w:color w:val="000000" w:themeColor="text1"/>
        </w:rPr>
        <w:t>GRUPOS OCUPACIONALES A RIESGO PARA EL VIRUS DE LA HEPATITIS C (VHC)</w:t>
      </w:r>
      <w:r w:rsidRPr="002F0AC5">
        <w:rPr>
          <w:rFonts w:ascii="Arial" w:eastAsia="ArialMT" w:hAnsi="Arial" w:cs="Arial"/>
          <w:color w:val="000000" w:themeColor="text1"/>
        </w:rPr>
        <w:t xml:space="preserve">: </w:t>
      </w:r>
      <w:r w:rsidR="00826B4B" w:rsidRPr="002F0AC5">
        <w:rPr>
          <w:rFonts w:ascii="Arial" w:eastAsia="ArialMT" w:hAnsi="Arial" w:cs="Arial"/>
        </w:rPr>
        <w:t xml:space="preserve">Trabajadores de la salud incluyendo a profesionales de la medicina, odontología, enfermería, personal de laboratorio, de bancos de sangre, personal de ambulancias, personal de limpieza, lavandería y mantenimiento en instituciones prestadoras de servicios de salud; personal de prisiones, trabajadores sexuales, personal que hace tatuajes y </w:t>
      </w:r>
      <w:r w:rsidR="00826B4B" w:rsidRPr="002F0AC5">
        <w:rPr>
          <w:rFonts w:ascii="Arial" w:hAnsi="Arial" w:cs="Arial"/>
          <w:i/>
          <w:iCs/>
        </w:rPr>
        <w:t xml:space="preserve">piercings </w:t>
      </w:r>
      <w:r w:rsidR="00826B4B" w:rsidRPr="002F0AC5">
        <w:rPr>
          <w:rFonts w:ascii="Arial" w:eastAsia="ArialMT" w:hAnsi="Arial" w:cs="Arial"/>
        </w:rPr>
        <w:t>personas que manipulan cadáveres (en tanatopraxia, medicina legal, fiscalía o similares), recolectores de basura y recicladores, personas que realizan el aseo en hoteles o similares (desecho inadecuado de objetos corto-punzantes).</w:t>
      </w:r>
      <w:r w:rsidR="001B09EC" w:rsidRPr="002F0AC5">
        <w:rPr>
          <w:rFonts w:ascii="Arial" w:hAnsi="Arial" w:cs="Arial"/>
          <w:b/>
        </w:rPr>
        <w:t xml:space="preserve">               </w:t>
      </w:r>
    </w:p>
    <w:p w14:paraId="419722DF" w14:textId="6D15971B" w:rsidR="00CC5F86" w:rsidRPr="002F0AC5" w:rsidRDefault="002F0AC5" w:rsidP="002F0AC5">
      <w:pPr>
        <w:autoSpaceDE w:val="0"/>
        <w:autoSpaceDN w:val="0"/>
        <w:adjustRightInd w:val="0"/>
        <w:spacing w:before="240" w:after="0" w:line="240" w:lineRule="auto"/>
        <w:rPr>
          <w:rFonts w:ascii="Arial" w:eastAsia="ArialMT" w:hAnsi="Arial" w:cs="Arial"/>
        </w:rPr>
      </w:pPr>
      <w:r w:rsidRPr="002F0AC5">
        <w:rPr>
          <w:rFonts w:ascii="Arial" w:hAnsi="Arial" w:cs="Arial"/>
          <w:b/>
          <w:bCs/>
          <w:color w:val="000000" w:themeColor="text1"/>
        </w:rPr>
        <w:t>FUENTE:</w:t>
      </w:r>
      <w:r w:rsidR="005816D3" w:rsidRPr="002F0AC5">
        <w:rPr>
          <w:rFonts w:ascii="Arial" w:hAnsi="Arial" w:cs="Arial"/>
          <w:b/>
          <w:bCs/>
        </w:rPr>
        <w:t xml:space="preserve"> </w:t>
      </w:r>
      <w:r w:rsidR="005816D3" w:rsidRPr="002F0AC5">
        <w:rPr>
          <w:rFonts w:ascii="Arial" w:eastAsia="ArialMT" w:hAnsi="Arial" w:cs="Arial"/>
        </w:rPr>
        <w:t>Se refiere a personas, tejidos, objetos o sustancias, desde las cuales pueda ser posible la transmisión del VIH, o las Hepatitis B o C.</w:t>
      </w:r>
    </w:p>
    <w:p w14:paraId="5E219569" w14:textId="77777777" w:rsidR="00EB2FF5" w:rsidRPr="002F0AC5" w:rsidRDefault="00EB2FF5" w:rsidP="005816D3">
      <w:pPr>
        <w:autoSpaceDE w:val="0"/>
        <w:autoSpaceDN w:val="0"/>
        <w:adjustRightInd w:val="0"/>
        <w:spacing w:after="0" w:line="240" w:lineRule="auto"/>
        <w:rPr>
          <w:rFonts w:ascii="Arial" w:eastAsia="ArialMT" w:hAnsi="Arial" w:cs="Arial"/>
        </w:rPr>
      </w:pPr>
    </w:p>
    <w:p w14:paraId="107F19D1" w14:textId="6DF2942D" w:rsidR="00EB2FF5" w:rsidRPr="002F0AC5" w:rsidRDefault="002F0AC5" w:rsidP="00EB2FF5">
      <w:pPr>
        <w:autoSpaceDE w:val="0"/>
        <w:autoSpaceDN w:val="0"/>
        <w:adjustRightInd w:val="0"/>
        <w:spacing w:after="0" w:line="240" w:lineRule="auto"/>
        <w:jc w:val="both"/>
        <w:rPr>
          <w:rFonts w:ascii="Arial" w:eastAsia="ArialMT" w:hAnsi="Arial" w:cs="Arial"/>
        </w:rPr>
      </w:pPr>
      <w:r w:rsidRPr="002F0AC5">
        <w:rPr>
          <w:rFonts w:ascii="Arial" w:hAnsi="Arial" w:cs="Arial"/>
          <w:b/>
          <w:bCs/>
          <w:color w:val="000000" w:themeColor="text1"/>
        </w:rPr>
        <w:t xml:space="preserve">FUENTES PARA VIH Y SOBREVIVENCIA FUERA DEL HUÉSPED: </w:t>
      </w:r>
      <w:r w:rsidR="00EB2FF5" w:rsidRPr="002F0AC5">
        <w:rPr>
          <w:rFonts w:ascii="Arial" w:eastAsia="ArialMT" w:hAnsi="Arial" w:cs="Arial"/>
        </w:rPr>
        <w:t xml:space="preserve">Son fluidos como la sangre, semen, secreciones vaginales, leche materna, liquido </w:t>
      </w:r>
      <w:proofErr w:type="spellStart"/>
      <w:r w:rsidR="00EB2FF5" w:rsidRPr="002F0AC5">
        <w:rPr>
          <w:rFonts w:ascii="Arial" w:eastAsia="ArialMT" w:hAnsi="Arial" w:cs="Arial"/>
        </w:rPr>
        <w:t>cefalo-raquideo</w:t>
      </w:r>
      <w:proofErr w:type="spellEnd"/>
      <w:r w:rsidR="00EB2FF5" w:rsidRPr="002F0AC5">
        <w:rPr>
          <w:rFonts w:ascii="Arial" w:eastAsia="ArialMT" w:hAnsi="Arial" w:cs="Arial"/>
        </w:rPr>
        <w:t xml:space="preserve">, liquido sinovial, liquido pleural, liquido peritoneal, liquido pericárdico y </w:t>
      </w:r>
      <w:r w:rsidR="004126A6" w:rsidRPr="002F0AC5">
        <w:rPr>
          <w:rFonts w:ascii="Arial" w:eastAsia="ArialMT" w:hAnsi="Arial" w:cs="Arial"/>
        </w:rPr>
        <w:t>líquido</w:t>
      </w:r>
      <w:r w:rsidR="00EB2FF5" w:rsidRPr="002F0AC5">
        <w:rPr>
          <w:rFonts w:ascii="Arial" w:eastAsia="ArialMT" w:hAnsi="Arial" w:cs="Arial"/>
        </w:rPr>
        <w:t xml:space="preserve"> amniótico. También se consideran potencialmente infecciosos los tejidos, órganos, cultivos celulares y los concentrados de virus de laboratorio. No se consideran infecciosos para VIH el sudor, el esputo, la orina, las heces, el vómito las secreciones nasales, la saliva ni las lágrimas, a menos que estén visiblemente contaminadas con sangre. El VIH es muy lábil a cambios de pH y humedad fuera del huésped, en cuanto estas condiciones dejan de ser optimas,</w:t>
      </w:r>
    </w:p>
    <w:p w14:paraId="770E2C4E" w14:textId="77777777" w:rsidR="00EB2FF5" w:rsidRPr="002F0AC5" w:rsidRDefault="00EB2FF5" w:rsidP="00EB2FF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su sobrevida es de pocos minutos y no puede multiplicarse.</w:t>
      </w:r>
    </w:p>
    <w:p w14:paraId="75C6B42E" w14:textId="77777777" w:rsidR="00A0164B" w:rsidRPr="002F0AC5" w:rsidRDefault="00A0164B" w:rsidP="00EB2FF5">
      <w:pPr>
        <w:autoSpaceDE w:val="0"/>
        <w:autoSpaceDN w:val="0"/>
        <w:adjustRightInd w:val="0"/>
        <w:spacing w:after="0" w:line="240" w:lineRule="auto"/>
        <w:jc w:val="both"/>
        <w:rPr>
          <w:rFonts w:ascii="Arial" w:eastAsia="ArialMT" w:hAnsi="Arial" w:cs="Arial"/>
        </w:rPr>
      </w:pPr>
    </w:p>
    <w:p w14:paraId="593AF804" w14:textId="3686E99C" w:rsidR="00505790" w:rsidRPr="002F0AC5" w:rsidRDefault="002F0AC5" w:rsidP="000056B7">
      <w:pPr>
        <w:autoSpaceDE w:val="0"/>
        <w:autoSpaceDN w:val="0"/>
        <w:adjustRightInd w:val="0"/>
        <w:spacing w:after="0" w:line="240" w:lineRule="auto"/>
        <w:jc w:val="both"/>
        <w:rPr>
          <w:rFonts w:ascii="Arial" w:eastAsia="ArialMT" w:hAnsi="Arial" w:cs="Arial"/>
        </w:rPr>
      </w:pPr>
      <w:r w:rsidRPr="002F0AC5">
        <w:rPr>
          <w:rFonts w:ascii="Arial" w:hAnsi="Arial" w:cs="Arial"/>
          <w:b/>
          <w:bCs/>
          <w:color w:val="000000" w:themeColor="text1"/>
        </w:rPr>
        <w:t xml:space="preserve">FUENTES PARA VHB Y SOBREVIVENCIA FUERA DEL HUÉSPED: </w:t>
      </w:r>
      <w:r w:rsidR="00A0164B" w:rsidRPr="002F0AC5">
        <w:rPr>
          <w:rFonts w:ascii="Arial" w:eastAsia="ArialMT" w:hAnsi="Arial" w:cs="Arial"/>
        </w:rPr>
        <w:t xml:space="preserve">Sangre y varios fluidos corporales como semen, secreciones vaginales, saliva, leche materna, calostro y líquidos corporales tales como cefalorraquídeo, pleural, pericárdico, peritoneal, ascítico, amniótico o sinovial; también por tejidos u órganos no fijados pero contaminados. La orina no es infecciosa para VHB a menos que </w:t>
      </w:r>
      <w:r w:rsidR="000056B7" w:rsidRPr="002F0AC5">
        <w:rPr>
          <w:rFonts w:ascii="Arial" w:eastAsia="ArialMT" w:hAnsi="Arial" w:cs="Arial"/>
        </w:rPr>
        <w:t>esté</w:t>
      </w:r>
      <w:r w:rsidR="00A0164B" w:rsidRPr="002F0AC5">
        <w:rPr>
          <w:rFonts w:ascii="Arial" w:eastAsia="ArialMT" w:hAnsi="Arial" w:cs="Arial"/>
        </w:rPr>
        <w:t xml:space="preserve"> contaminada con sangre. </w:t>
      </w:r>
    </w:p>
    <w:p w14:paraId="4649A8BD" w14:textId="77777777" w:rsidR="00505790" w:rsidRPr="002F0AC5" w:rsidRDefault="00505790" w:rsidP="000056B7">
      <w:pPr>
        <w:autoSpaceDE w:val="0"/>
        <w:autoSpaceDN w:val="0"/>
        <w:adjustRightInd w:val="0"/>
        <w:spacing w:after="0" w:line="240" w:lineRule="auto"/>
        <w:jc w:val="both"/>
        <w:rPr>
          <w:rFonts w:ascii="Arial" w:eastAsia="ArialMT" w:hAnsi="Arial" w:cs="Arial"/>
        </w:rPr>
      </w:pPr>
    </w:p>
    <w:p w14:paraId="12DB3B19" w14:textId="77777777" w:rsidR="00A0164B" w:rsidRPr="002F0AC5" w:rsidRDefault="00A0164B" w:rsidP="000056B7">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lastRenderedPageBreak/>
        <w:t>Las concentraciones del virus varían de alta en sangre y en secreciones de heridas, moderada en semen y fluido vaginal, y bajas en saliva. Sobrevive en sangre seca durante largos periodos, incluso semanas (en promedio 10 días), en superficies ambientales es estable hasta siete días a 25oC. Dado que permanece hasta una semana en superficie inanimada, se puede esparcir fácilmente si se</w:t>
      </w:r>
      <w:r w:rsidR="000056B7" w:rsidRPr="002F0AC5">
        <w:rPr>
          <w:rFonts w:ascii="Arial" w:eastAsia="ArialMT" w:hAnsi="Arial" w:cs="Arial"/>
        </w:rPr>
        <w:t xml:space="preserve"> comparten objetos como toallas, cuchillas, navajas, cepillos de dientes y elementos corto-punzantes; los títulos de virus pueden ser altos aun cuando la sangre no sea visible.</w:t>
      </w:r>
    </w:p>
    <w:p w14:paraId="7F76D8CA" w14:textId="77777777" w:rsidR="00505790" w:rsidRPr="002F0AC5" w:rsidRDefault="00505790" w:rsidP="000056B7">
      <w:pPr>
        <w:autoSpaceDE w:val="0"/>
        <w:autoSpaceDN w:val="0"/>
        <w:adjustRightInd w:val="0"/>
        <w:spacing w:after="0" w:line="240" w:lineRule="auto"/>
        <w:jc w:val="both"/>
        <w:rPr>
          <w:rFonts w:ascii="Arial" w:eastAsia="ArialMT" w:hAnsi="Arial" w:cs="Arial"/>
        </w:rPr>
      </w:pPr>
    </w:p>
    <w:p w14:paraId="0D67ABC1" w14:textId="595FE058" w:rsidR="00505790" w:rsidRPr="002F0AC5" w:rsidRDefault="002F0AC5" w:rsidP="00505790">
      <w:pPr>
        <w:autoSpaceDE w:val="0"/>
        <w:autoSpaceDN w:val="0"/>
        <w:adjustRightInd w:val="0"/>
        <w:spacing w:after="0" w:line="240" w:lineRule="auto"/>
        <w:rPr>
          <w:rFonts w:ascii="Arial" w:eastAsia="ArialMT" w:hAnsi="Arial" w:cs="Arial"/>
        </w:rPr>
      </w:pPr>
      <w:r w:rsidRPr="002F0AC5">
        <w:rPr>
          <w:rFonts w:ascii="Arial" w:hAnsi="Arial" w:cs="Arial"/>
          <w:b/>
          <w:bCs/>
          <w:color w:val="000000" w:themeColor="text1"/>
        </w:rPr>
        <w:t>FUENTES PARA VHC Y SOBREVIVENCIA FUERA DEL HUÉSPED</w:t>
      </w:r>
      <w:r w:rsidRPr="002F0AC5">
        <w:rPr>
          <w:rFonts w:ascii="Arial" w:eastAsia="ArialMT" w:hAnsi="Arial" w:cs="Arial"/>
          <w:color w:val="000000" w:themeColor="text1"/>
        </w:rPr>
        <w:t xml:space="preserve">: </w:t>
      </w:r>
      <w:r w:rsidR="00505790" w:rsidRPr="002F0AC5">
        <w:rPr>
          <w:rFonts w:ascii="Arial" w:eastAsia="ArialMT" w:hAnsi="Arial" w:cs="Arial"/>
        </w:rPr>
        <w:t>Sangre, productos sanguíneos y fluidos corporales, tejidos o equipos contaminados con sangre infectada por el VHC.</w:t>
      </w:r>
    </w:p>
    <w:p w14:paraId="5D34D404" w14:textId="77777777" w:rsidR="00505790" w:rsidRPr="002F0AC5" w:rsidRDefault="00505790" w:rsidP="00505790">
      <w:pPr>
        <w:autoSpaceDE w:val="0"/>
        <w:autoSpaceDN w:val="0"/>
        <w:adjustRightInd w:val="0"/>
        <w:spacing w:after="0" w:line="240" w:lineRule="auto"/>
        <w:rPr>
          <w:rFonts w:ascii="Arial" w:eastAsia="ArialMT" w:hAnsi="Arial" w:cs="Arial"/>
        </w:rPr>
      </w:pPr>
    </w:p>
    <w:p w14:paraId="4EB6938A" w14:textId="77777777" w:rsidR="00505790" w:rsidRPr="002F0AC5" w:rsidRDefault="00505790" w:rsidP="00505790">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El VHC es relativamente inestable, se han descrito tiempo variables de su supervivencia fuera del huésped a temperatura ambiente que van entre 16 horas, hasta tres o varias semanas.</w:t>
      </w:r>
    </w:p>
    <w:p w14:paraId="4D46F929" w14:textId="77777777" w:rsidR="00505790" w:rsidRPr="002F0AC5" w:rsidRDefault="00505790" w:rsidP="00505790">
      <w:pPr>
        <w:autoSpaceDE w:val="0"/>
        <w:autoSpaceDN w:val="0"/>
        <w:adjustRightInd w:val="0"/>
        <w:spacing w:after="0" w:line="240" w:lineRule="auto"/>
        <w:rPr>
          <w:rFonts w:ascii="Arial" w:eastAsia="ArialMT" w:hAnsi="Arial" w:cs="Arial"/>
        </w:rPr>
      </w:pPr>
    </w:p>
    <w:p w14:paraId="36D1868B" w14:textId="6A440654" w:rsidR="00505790" w:rsidRPr="002F0AC5" w:rsidRDefault="002F0AC5" w:rsidP="00505790">
      <w:pPr>
        <w:autoSpaceDE w:val="0"/>
        <w:autoSpaceDN w:val="0"/>
        <w:adjustRightInd w:val="0"/>
        <w:spacing w:after="0" w:line="240" w:lineRule="auto"/>
        <w:jc w:val="both"/>
        <w:rPr>
          <w:rFonts w:ascii="Arial" w:eastAsia="ArialMT" w:hAnsi="Arial" w:cs="Arial"/>
        </w:rPr>
      </w:pPr>
      <w:r w:rsidRPr="002F0AC5">
        <w:rPr>
          <w:rFonts w:ascii="Arial" w:hAnsi="Arial" w:cs="Arial"/>
          <w:b/>
          <w:bCs/>
          <w:color w:val="000000" w:themeColor="text1"/>
        </w:rPr>
        <w:t>KIT DE PROFILAXIS POST-EXPOSICIÓN</w:t>
      </w:r>
      <w:r w:rsidR="00505790" w:rsidRPr="002F0AC5">
        <w:rPr>
          <w:rFonts w:ascii="Arial" w:hAnsi="Arial" w:cs="Arial"/>
          <w:b/>
          <w:bCs/>
        </w:rPr>
        <w:t xml:space="preserve">: </w:t>
      </w:r>
      <w:r w:rsidR="00505790" w:rsidRPr="002F0AC5">
        <w:rPr>
          <w:rFonts w:ascii="Arial" w:eastAsia="ArialMT" w:hAnsi="Arial" w:cs="Arial"/>
        </w:rPr>
        <w:t>Conjunto de pruebas rápidas y medicamentos necesarios para la prevenc</w:t>
      </w:r>
      <w:r w:rsidR="00E2624B" w:rsidRPr="002F0AC5">
        <w:rPr>
          <w:rFonts w:ascii="Arial" w:eastAsia="ArialMT" w:hAnsi="Arial" w:cs="Arial"/>
        </w:rPr>
        <w:t xml:space="preserve">ión </w:t>
      </w:r>
      <w:proofErr w:type="spellStart"/>
      <w:r w:rsidR="00E2624B" w:rsidRPr="002F0AC5">
        <w:rPr>
          <w:rFonts w:ascii="Arial" w:eastAsia="ArialMT" w:hAnsi="Arial" w:cs="Arial"/>
        </w:rPr>
        <w:t>post-exposición</w:t>
      </w:r>
      <w:proofErr w:type="spellEnd"/>
      <w:r w:rsidR="00E2624B" w:rsidRPr="002F0AC5">
        <w:rPr>
          <w:rFonts w:ascii="Arial" w:eastAsia="ArialMT" w:hAnsi="Arial" w:cs="Arial"/>
        </w:rPr>
        <w:t xml:space="preserve"> ante las</w:t>
      </w:r>
      <w:r w:rsidR="00505790" w:rsidRPr="002F0AC5">
        <w:rPr>
          <w:rFonts w:ascii="Arial" w:eastAsia="ArialMT" w:hAnsi="Arial" w:cs="Arial"/>
        </w:rPr>
        <w:t xml:space="preserve">, el VIH y la Hepatitis </w:t>
      </w:r>
    </w:p>
    <w:p w14:paraId="1F234483" w14:textId="77777777" w:rsidR="00B57770" w:rsidRPr="002F0AC5" w:rsidRDefault="00B57770" w:rsidP="00505790">
      <w:pPr>
        <w:autoSpaceDE w:val="0"/>
        <w:autoSpaceDN w:val="0"/>
        <w:adjustRightInd w:val="0"/>
        <w:spacing w:after="0" w:line="240" w:lineRule="auto"/>
        <w:rPr>
          <w:rFonts w:ascii="Arial" w:eastAsia="ArialMT" w:hAnsi="Arial" w:cs="Arial"/>
        </w:rPr>
      </w:pPr>
    </w:p>
    <w:p w14:paraId="7A76012A" w14:textId="77777777" w:rsidR="005E1D49" w:rsidRPr="002F0AC5" w:rsidRDefault="00505790" w:rsidP="00505790">
      <w:pPr>
        <w:autoSpaceDE w:val="0"/>
        <w:autoSpaceDN w:val="0"/>
        <w:adjustRightInd w:val="0"/>
        <w:spacing w:after="0" w:line="240" w:lineRule="auto"/>
        <w:rPr>
          <w:rFonts w:ascii="Arial" w:eastAsia="ArialMT" w:hAnsi="Arial" w:cs="Arial"/>
        </w:rPr>
      </w:pPr>
      <w:r w:rsidRPr="002F0AC5">
        <w:rPr>
          <w:rFonts w:ascii="Arial" w:eastAsia="ArialMT" w:hAnsi="Arial" w:cs="Arial"/>
        </w:rPr>
        <w:t>Deben estar disponibles las 24 horas de</w:t>
      </w:r>
      <w:r w:rsidR="00B57770" w:rsidRPr="002F0AC5">
        <w:rPr>
          <w:rFonts w:ascii="Arial" w:eastAsia="ArialMT" w:hAnsi="Arial" w:cs="Arial"/>
        </w:rPr>
        <w:t>l día en la E.S.E Hospital San José del Guaviare</w:t>
      </w:r>
      <w:r w:rsidRPr="002F0AC5">
        <w:rPr>
          <w:rFonts w:ascii="Arial" w:eastAsia="ArialMT" w:hAnsi="Arial" w:cs="Arial"/>
        </w:rPr>
        <w:t xml:space="preserve"> </w:t>
      </w:r>
    </w:p>
    <w:p w14:paraId="452C014D" w14:textId="77777777" w:rsidR="005E1D49" w:rsidRPr="002F0AC5" w:rsidRDefault="00E2624B" w:rsidP="00532CAC">
      <w:pPr>
        <w:pStyle w:val="Ttulo1"/>
        <w:numPr>
          <w:ilvl w:val="0"/>
          <w:numId w:val="6"/>
        </w:numPr>
        <w:jc w:val="both"/>
      </w:pPr>
      <w:bookmarkStart w:id="3" w:name="_Toc32502163"/>
      <w:r w:rsidRPr="002F0AC5">
        <w:t>MANEJO MÉDICO DE LA EXPOSICIÓN LABORAL O NO LABORAL ANTE LAS ITS, VIH, VHB Y EL VHC</w:t>
      </w:r>
      <w:r w:rsidR="005E1D49" w:rsidRPr="002F0AC5">
        <w:t>.</w:t>
      </w:r>
      <w:bookmarkEnd w:id="3"/>
    </w:p>
    <w:p w14:paraId="1C5D04BD" w14:textId="344F8FD1" w:rsidR="005E1D49" w:rsidRPr="002F0AC5" w:rsidRDefault="00E2624B" w:rsidP="00532CAC">
      <w:pPr>
        <w:pStyle w:val="Ttulo2"/>
        <w:numPr>
          <w:ilvl w:val="1"/>
          <w:numId w:val="6"/>
        </w:numPr>
        <w:jc w:val="both"/>
      </w:pPr>
      <w:bookmarkStart w:id="4" w:name="_Toc32502164"/>
      <w:r w:rsidRPr="002F0AC5">
        <w:t>CARACTERIZACIÓN DE LA EXPOSICIÓN DE RIESGO LABORAL O NO LABORAL</w:t>
      </w:r>
      <w:bookmarkEnd w:id="4"/>
    </w:p>
    <w:p w14:paraId="378B8287" w14:textId="77777777" w:rsidR="00BB3D64" w:rsidRPr="002F0AC5" w:rsidRDefault="00BB3D64" w:rsidP="005E1D49">
      <w:pPr>
        <w:autoSpaceDE w:val="0"/>
        <w:autoSpaceDN w:val="0"/>
        <w:adjustRightInd w:val="0"/>
        <w:spacing w:after="0" w:line="240" w:lineRule="auto"/>
        <w:rPr>
          <w:rFonts w:ascii="Arial" w:hAnsi="Arial" w:cs="Arial"/>
          <w:b/>
          <w:bCs/>
          <w:color w:val="4F82BE"/>
        </w:rPr>
      </w:pPr>
    </w:p>
    <w:p w14:paraId="7E1B53E6" w14:textId="77777777" w:rsidR="005E1D49" w:rsidRPr="002F0AC5" w:rsidRDefault="005E1D49" w:rsidP="003B5F68">
      <w:pPr>
        <w:autoSpaceDE w:val="0"/>
        <w:autoSpaceDN w:val="0"/>
        <w:adjustRightInd w:val="0"/>
        <w:spacing w:after="0" w:line="240" w:lineRule="auto"/>
        <w:jc w:val="both"/>
        <w:rPr>
          <w:rFonts w:ascii="Arial" w:eastAsia="ArialMT" w:hAnsi="Arial" w:cs="Arial"/>
          <w:color w:val="000000"/>
        </w:rPr>
      </w:pPr>
      <w:r w:rsidRPr="002F0AC5">
        <w:rPr>
          <w:rFonts w:ascii="Arial" w:eastAsia="ArialMT" w:hAnsi="Arial" w:cs="Arial"/>
          <w:color w:val="000000"/>
        </w:rPr>
        <w:t xml:space="preserve">Se debe indagar información relacionada con: la caracterización de la persona expuesta (mayor o menor de </w:t>
      </w:r>
      <w:r w:rsidR="003B5F68" w:rsidRPr="002F0AC5">
        <w:rPr>
          <w:rFonts w:ascii="Arial" w:eastAsia="ArialMT" w:hAnsi="Arial" w:cs="Arial"/>
          <w:color w:val="000000"/>
        </w:rPr>
        <w:t>13 años</w:t>
      </w:r>
      <w:r w:rsidRPr="002F0AC5">
        <w:rPr>
          <w:rFonts w:ascii="Arial" w:eastAsia="ArialMT" w:hAnsi="Arial" w:cs="Arial"/>
          <w:color w:val="000000"/>
        </w:rPr>
        <w:t>, antecedentes médicos y de vacunación, gestante o no gestante), características de la fuente (</w:t>
      </w:r>
      <w:r w:rsidR="003B5F68" w:rsidRPr="002F0AC5">
        <w:rPr>
          <w:rFonts w:ascii="Arial" w:eastAsia="ArialMT" w:hAnsi="Arial" w:cs="Arial"/>
          <w:color w:val="000000"/>
        </w:rPr>
        <w:t>conocido, desconocido</w:t>
      </w:r>
      <w:r w:rsidRPr="002F0AC5">
        <w:rPr>
          <w:rFonts w:ascii="Arial" w:eastAsia="ArialMT" w:hAnsi="Arial" w:cs="Arial"/>
          <w:color w:val="000000"/>
        </w:rPr>
        <w:t xml:space="preserve"> frente al VIH, VHB y VHC, tratamiento que recibe), mecanismo de exposición</w:t>
      </w:r>
      <w:r w:rsidR="003B5F68" w:rsidRPr="002F0AC5">
        <w:rPr>
          <w:rFonts w:ascii="Arial" w:eastAsia="ArialMT" w:hAnsi="Arial" w:cs="Arial"/>
          <w:color w:val="000000"/>
        </w:rPr>
        <w:t xml:space="preserve">, datos del tipo de </w:t>
      </w:r>
      <w:r w:rsidRPr="002F0AC5">
        <w:rPr>
          <w:rFonts w:ascii="Arial" w:eastAsia="ArialMT" w:hAnsi="Arial" w:cs="Arial"/>
          <w:color w:val="000000"/>
        </w:rPr>
        <w:t>fluido de contacto, antecedentes de vacunación de la persona expuesta, respuesta inmunológica a la</w:t>
      </w:r>
      <w:r w:rsidR="003B5F68" w:rsidRPr="002F0AC5">
        <w:rPr>
          <w:rFonts w:ascii="Arial" w:eastAsia="ArialMT" w:hAnsi="Arial" w:cs="Arial"/>
          <w:color w:val="000000"/>
        </w:rPr>
        <w:t xml:space="preserve"> </w:t>
      </w:r>
      <w:r w:rsidRPr="002F0AC5">
        <w:rPr>
          <w:rFonts w:ascii="Arial" w:eastAsia="ArialMT" w:hAnsi="Arial" w:cs="Arial"/>
          <w:color w:val="000000"/>
        </w:rPr>
        <w:t xml:space="preserve">vacunación, tiempo de evolución de la exposición en </w:t>
      </w:r>
      <w:r w:rsidR="003B5F68" w:rsidRPr="002F0AC5">
        <w:rPr>
          <w:rFonts w:ascii="Arial" w:eastAsia="ArialMT" w:hAnsi="Arial" w:cs="Arial"/>
          <w:color w:val="000000"/>
        </w:rPr>
        <w:t>horas y minutos. Para</w:t>
      </w:r>
      <w:r w:rsidRPr="002F0AC5">
        <w:rPr>
          <w:rFonts w:ascii="Arial" w:eastAsia="ArialMT" w:hAnsi="Arial" w:cs="Arial"/>
          <w:color w:val="000000"/>
        </w:rPr>
        <w:t xml:space="preserve"> tomar la decisión de inicio de la Profilaxis se deben tener en cuenta aspectos relevantes relacionados con </w:t>
      </w:r>
      <w:r w:rsidRPr="002F0AC5">
        <w:rPr>
          <w:rFonts w:ascii="Arial" w:eastAsia="ArialMT" w:hAnsi="Arial" w:cs="Arial"/>
        </w:rPr>
        <w:t xml:space="preserve">las </w:t>
      </w:r>
      <w:r w:rsidR="003B5F68" w:rsidRPr="002F0AC5">
        <w:rPr>
          <w:rFonts w:ascii="Arial" w:eastAsia="ArialMT" w:hAnsi="Arial" w:cs="Arial"/>
        </w:rPr>
        <w:t>características</w:t>
      </w:r>
      <w:r w:rsidRPr="002F0AC5">
        <w:rPr>
          <w:rFonts w:ascii="Arial" w:eastAsia="ArialMT" w:hAnsi="Arial" w:cs="Arial"/>
        </w:rPr>
        <w:t xml:space="preserve"> de la fuente, tipo de mecanismo de </w:t>
      </w:r>
      <w:r w:rsidR="003B5F68" w:rsidRPr="002F0AC5">
        <w:rPr>
          <w:rFonts w:ascii="Arial" w:eastAsia="ArialMT" w:hAnsi="Arial" w:cs="Arial"/>
        </w:rPr>
        <w:t>exposición</w:t>
      </w:r>
      <w:r w:rsidRPr="002F0AC5">
        <w:rPr>
          <w:rFonts w:ascii="Arial" w:eastAsia="ArialMT" w:hAnsi="Arial" w:cs="Arial"/>
        </w:rPr>
        <w:t>, fluidos a que ha sido expuesta la persona,</w:t>
      </w:r>
      <w:r w:rsidR="003B5F68" w:rsidRPr="002F0AC5">
        <w:rPr>
          <w:rFonts w:ascii="Arial" w:eastAsia="ArialMT" w:hAnsi="Arial" w:cs="Arial"/>
          <w:color w:val="000000"/>
        </w:rPr>
        <w:t xml:space="preserve"> </w:t>
      </w:r>
      <w:r w:rsidRPr="002F0AC5">
        <w:rPr>
          <w:rFonts w:ascii="Arial" w:eastAsia="ArialMT" w:hAnsi="Arial" w:cs="Arial"/>
        </w:rPr>
        <w:t xml:space="preserve">antecedentes de </w:t>
      </w:r>
      <w:r w:rsidR="003B5F68" w:rsidRPr="002F0AC5">
        <w:rPr>
          <w:rFonts w:ascii="Arial" w:eastAsia="ArialMT" w:hAnsi="Arial" w:cs="Arial"/>
        </w:rPr>
        <w:t>vacunación</w:t>
      </w:r>
      <w:r w:rsidRPr="002F0AC5">
        <w:rPr>
          <w:rFonts w:ascii="Arial" w:eastAsia="ArialMT" w:hAnsi="Arial" w:cs="Arial"/>
        </w:rPr>
        <w:t xml:space="preserve"> de la persona expuesta, tiempo transcurrido desde la </w:t>
      </w:r>
      <w:r w:rsidR="003B5F68" w:rsidRPr="002F0AC5">
        <w:rPr>
          <w:rFonts w:ascii="Arial" w:eastAsia="ArialMT" w:hAnsi="Arial" w:cs="Arial"/>
        </w:rPr>
        <w:t>exposición</w:t>
      </w:r>
      <w:r w:rsidRPr="002F0AC5">
        <w:rPr>
          <w:rFonts w:ascii="Arial" w:eastAsia="ArialMT" w:hAnsi="Arial" w:cs="Arial"/>
        </w:rPr>
        <w:t xml:space="preserve"> de riesgo.</w:t>
      </w:r>
    </w:p>
    <w:p w14:paraId="796E9D1B" w14:textId="77777777" w:rsidR="003B5F68" w:rsidRPr="002F0AC5" w:rsidRDefault="003B5F68" w:rsidP="005E1D49">
      <w:pPr>
        <w:autoSpaceDE w:val="0"/>
        <w:autoSpaceDN w:val="0"/>
        <w:adjustRightInd w:val="0"/>
        <w:spacing w:after="0" w:line="240" w:lineRule="auto"/>
        <w:rPr>
          <w:rFonts w:ascii="Arial" w:eastAsia="ArialMT" w:hAnsi="Arial" w:cs="Arial"/>
        </w:rPr>
      </w:pPr>
    </w:p>
    <w:p w14:paraId="238E0D12" w14:textId="77777777" w:rsidR="003B5F68" w:rsidRPr="002F0AC5" w:rsidRDefault="005E1D49" w:rsidP="003B5F68">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No existe una profilaxis efectiva frente al VHC, pues la </w:t>
      </w:r>
      <w:r w:rsidR="003B5F68" w:rsidRPr="002F0AC5">
        <w:rPr>
          <w:rFonts w:ascii="Arial" w:eastAsia="ArialMT" w:hAnsi="Arial" w:cs="Arial"/>
        </w:rPr>
        <w:t>cinética</w:t>
      </w:r>
      <w:r w:rsidRPr="002F0AC5">
        <w:rPr>
          <w:rFonts w:ascii="Arial" w:eastAsia="ArialMT" w:hAnsi="Arial" w:cs="Arial"/>
        </w:rPr>
        <w:t xml:space="preserve"> viral demuestra </w:t>
      </w:r>
      <w:r w:rsidR="003B5F68" w:rsidRPr="002F0AC5">
        <w:rPr>
          <w:rFonts w:ascii="Arial" w:eastAsia="ArialMT" w:hAnsi="Arial" w:cs="Arial"/>
        </w:rPr>
        <w:t xml:space="preserve">que para que el tratamiento sea </w:t>
      </w:r>
      <w:r w:rsidRPr="002F0AC5">
        <w:rPr>
          <w:rFonts w:ascii="Arial" w:eastAsia="ArialMT" w:hAnsi="Arial" w:cs="Arial"/>
        </w:rPr>
        <w:t xml:space="preserve">eficaz, debe haber ya una </w:t>
      </w:r>
      <w:r w:rsidR="003B5F68" w:rsidRPr="002F0AC5">
        <w:rPr>
          <w:rFonts w:ascii="Arial" w:eastAsia="ArialMT" w:hAnsi="Arial" w:cs="Arial"/>
        </w:rPr>
        <w:t>infección</w:t>
      </w:r>
      <w:r w:rsidRPr="002F0AC5">
        <w:rPr>
          <w:rFonts w:ascii="Arial" w:eastAsia="ArialMT" w:hAnsi="Arial" w:cs="Arial"/>
        </w:rPr>
        <w:t xml:space="preserve"> establecida. Por eso, es importante el segu</w:t>
      </w:r>
      <w:r w:rsidR="003B5F68" w:rsidRPr="002F0AC5">
        <w:rPr>
          <w:rFonts w:ascii="Arial" w:eastAsia="ArialMT" w:hAnsi="Arial" w:cs="Arial"/>
        </w:rPr>
        <w:t xml:space="preserve">imiento de estos pacientes para </w:t>
      </w:r>
      <w:r w:rsidRPr="002F0AC5">
        <w:rPr>
          <w:rFonts w:ascii="Arial" w:eastAsia="ArialMT" w:hAnsi="Arial" w:cs="Arial"/>
        </w:rPr>
        <w:t xml:space="preserve">poder diagnosticar cuanto antes una posible </w:t>
      </w:r>
      <w:r w:rsidR="003B5F68" w:rsidRPr="002F0AC5">
        <w:rPr>
          <w:rFonts w:ascii="Arial" w:eastAsia="ArialMT" w:hAnsi="Arial" w:cs="Arial"/>
        </w:rPr>
        <w:t>infección</w:t>
      </w:r>
      <w:r w:rsidRPr="002F0AC5">
        <w:rPr>
          <w:rFonts w:ascii="Arial" w:eastAsia="ArialMT" w:hAnsi="Arial" w:cs="Arial"/>
        </w:rPr>
        <w:t xml:space="preserve"> aguda por el VHC, en cuyo caso el tratamiento puede ser</w:t>
      </w:r>
      <w:r w:rsidR="003B5F68" w:rsidRPr="002F0AC5">
        <w:rPr>
          <w:rFonts w:ascii="Arial" w:eastAsia="ArialMT" w:hAnsi="Arial" w:cs="Arial"/>
        </w:rPr>
        <w:t xml:space="preserve"> más eficaz.</w:t>
      </w:r>
    </w:p>
    <w:p w14:paraId="1B98338C" w14:textId="77777777" w:rsidR="003B5F68" w:rsidRPr="002F0AC5" w:rsidRDefault="003B5F68" w:rsidP="005E1D49">
      <w:pPr>
        <w:autoSpaceDE w:val="0"/>
        <w:autoSpaceDN w:val="0"/>
        <w:adjustRightInd w:val="0"/>
        <w:spacing w:after="0" w:line="240" w:lineRule="auto"/>
        <w:rPr>
          <w:rFonts w:ascii="Arial" w:eastAsia="ArialMT" w:hAnsi="Arial" w:cs="Arial"/>
        </w:rPr>
      </w:pPr>
    </w:p>
    <w:p w14:paraId="38FE4AB1" w14:textId="1215A2ED" w:rsidR="005E1D49" w:rsidRDefault="005E1D49" w:rsidP="005E1D49">
      <w:pPr>
        <w:autoSpaceDE w:val="0"/>
        <w:autoSpaceDN w:val="0"/>
        <w:adjustRightInd w:val="0"/>
        <w:spacing w:after="0" w:line="240" w:lineRule="auto"/>
        <w:rPr>
          <w:rFonts w:ascii="Arial" w:eastAsia="ArialMT" w:hAnsi="Arial" w:cs="Arial"/>
        </w:rPr>
      </w:pPr>
      <w:r w:rsidRPr="002F0AC5">
        <w:rPr>
          <w:rFonts w:ascii="Arial" w:eastAsia="ArialMT" w:hAnsi="Arial" w:cs="Arial"/>
        </w:rPr>
        <w:t>Los antecedentes que deben conocerse en cada caso, pueden resumirse de la siguiente manera:</w:t>
      </w:r>
    </w:p>
    <w:tbl>
      <w:tblPr>
        <w:tblW w:w="8926" w:type="dxa"/>
        <w:tblInd w:w="75" w:type="dxa"/>
        <w:tblCellMar>
          <w:left w:w="70" w:type="dxa"/>
          <w:right w:w="70" w:type="dxa"/>
        </w:tblCellMar>
        <w:tblLook w:val="04A0" w:firstRow="1" w:lastRow="0" w:firstColumn="1" w:lastColumn="0" w:noHBand="0" w:noVBand="1"/>
      </w:tblPr>
      <w:tblGrid>
        <w:gridCol w:w="3680"/>
        <w:gridCol w:w="5246"/>
      </w:tblGrid>
      <w:tr w:rsidR="005B4301" w:rsidRPr="002F0AC5" w14:paraId="36233813" w14:textId="77777777" w:rsidTr="002F0AC5">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05ACE3E" w14:textId="6B554F0D" w:rsidR="005B4301" w:rsidRPr="002F0AC5" w:rsidRDefault="002F0AC5" w:rsidP="002F0AC5">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lastRenderedPageBreak/>
              <w:t>ANTECEDENTES</w:t>
            </w:r>
          </w:p>
        </w:tc>
        <w:tc>
          <w:tcPr>
            <w:tcW w:w="524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6A6C012" w14:textId="59E3C653" w:rsidR="005B4301" w:rsidRPr="002F0AC5" w:rsidRDefault="002F0AC5" w:rsidP="002F0AC5">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DESCRIPCIÓN</w:t>
            </w:r>
          </w:p>
        </w:tc>
      </w:tr>
      <w:tr w:rsidR="005B4301" w:rsidRPr="002F0AC5" w14:paraId="2F83058E" w14:textId="77777777" w:rsidTr="005B4301">
        <w:trPr>
          <w:trHeight w:val="870"/>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02B0859"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Datos de las características de la fuente</w:t>
            </w:r>
          </w:p>
        </w:tc>
        <w:tc>
          <w:tcPr>
            <w:tcW w:w="5246" w:type="dxa"/>
            <w:tcBorders>
              <w:top w:val="nil"/>
              <w:left w:val="nil"/>
              <w:bottom w:val="single" w:sz="4" w:space="0" w:color="auto"/>
              <w:right w:val="single" w:sz="4" w:space="0" w:color="auto"/>
            </w:tcBorders>
            <w:shd w:val="clear" w:color="auto" w:fill="auto"/>
            <w:hideMark/>
          </w:tcPr>
          <w:p w14:paraId="0DEBF0D6"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En la medida de las posibilidades, se debe conocer la situación serológica de la fuente frente a las ITS, al VIH, el VHB y el VHC.</w:t>
            </w:r>
          </w:p>
        </w:tc>
      </w:tr>
      <w:tr w:rsidR="005B4301" w:rsidRPr="002F0AC5" w14:paraId="38B29A66" w14:textId="77777777" w:rsidTr="005B4301">
        <w:trPr>
          <w:trHeight w:val="1560"/>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5078E930"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Datos del tipo de mecanismo de exposición:</w:t>
            </w:r>
          </w:p>
        </w:tc>
        <w:tc>
          <w:tcPr>
            <w:tcW w:w="5246" w:type="dxa"/>
            <w:tcBorders>
              <w:top w:val="nil"/>
              <w:left w:val="nil"/>
              <w:bottom w:val="single" w:sz="4" w:space="0" w:color="auto"/>
              <w:right w:val="single" w:sz="4" w:space="0" w:color="auto"/>
            </w:tcBorders>
            <w:shd w:val="clear" w:color="auto" w:fill="auto"/>
            <w:hideMark/>
          </w:tcPr>
          <w:p w14:paraId="4996C93A"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Se requiere conocer si la exposición fue por punción percutánea, profundidad de la punción (a mayor profundidad, mayor riesgo), material que ocasionó la punción, tal como agujas huecas (mayor riesgo), agujas de sutura, bisturís u otros objetos corto-punzantes.</w:t>
            </w:r>
          </w:p>
        </w:tc>
      </w:tr>
      <w:tr w:rsidR="005B4301" w:rsidRPr="002F0AC5" w14:paraId="48DEEF8A" w14:textId="77777777" w:rsidTr="002F0AC5">
        <w:trPr>
          <w:trHeight w:val="592"/>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36DA1D36"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Datos del tipo de fluido de contacto</w:t>
            </w:r>
          </w:p>
        </w:tc>
        <w:tc>
          <w:tcPr>
            <w:tcW w:w="5246" w:type="dxa"/>
            <w:tcBorders>
              <w:top w:val="nil"/>
              <w:left w:val="nil"/>
              <w:bottom w:val="single" w:sz="4" w:space="0" w:color="auto"/>
              <w:right w:val="single" w:sz="4" w:space="0" w:color="auto"/>
            </w:tcBorders>
            <w:shd w:val="clear" w:color="auto" w:fill="auto"/>
            <w:vAlign w:val="center"/>
            <w:hideMark/>
          </w:tcPr>
          <w:p w14:paraId="689F7882"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Determinar si se trata de un fluido potencialmente infectante o no.</w:t>
            </w:r>
          </w:p>
        </w:tc>
      </w:tr>
      <w:tr w:rsidR="005B4301" w:rsidRPr="002F0AC5" w14:paraId="09967BA1" w14:textId="77777777" w:rsidTr="005B4301">
        <w:trPr>
          <w:trHeight w:val="810"/>
        </w:trPr>
        <w:tc>
          <w:tcPr>
            <w:tcW w:w="3680" w:type="dxa"/>
            <w:tcBorders>
              <w:top w:val="nil"/>
              <w:left w:val="single" w:sz="4" w:space="0" w:color="auto"/>
              <w:bottom w:val="single" w:sz="4" w:space="0" w:color="auto"/>
              <w:right w:val="single" w:sz="4" w:space="0" w:color="auto"/>
            </w:tcBorders>
            <w:shd w:val="clear" w:color="auto" w:fill="auto"/>
            <w:hideMark/>
          </w:tcPr>
          <w:p w14:paraId="2B985295"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Datos de vacunación de la persona expuesta con respecto a la hepatitis B</w:t>
            </w:r>
          </w:p>
        </w:tc>
        <w:tc>
          <w:tcPr>
            <w:tcW w:w="5246" w:type="dxa"/>
            <w:tcBorders>
              <w:top w:val="nil"/>
              <w:left w:val="nil"/>
              <w:bottom w:val="single" w:sz="4" w:space="0" w:color="auto"/>
              <w:right w:val="single" w:sz="4" w:space="0" w:color="auto"/>
            </w:tcBorders>
            <w:shd w:val="clear" w:color="auto" w:fill="auto"/>
            <w:hideMark/>
          </w:tcPr>
          <w:p w14:paraId="0DA4E29E"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Esquema de vacunación recibido y si es posible títulos de Anticuerpos contra Hepatitis B al momento de la exposición</w:t>
            </w:r>
          </w:p>
        </w:tc>
      </w:tr>
      <w:tr w:rsidR="005B4301" w:rsidRPr="002F0AC5" w14:paraId="7DB7C413" w14:textId="77777777" w:rsidTr="002F0AC5">
        <w:trPr>
          <w:trHeight w:val="1719"/>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6D1173C0"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Datos sobre el tiempo Transcurrido desde la exposición de riesgo</w:t>
            </w:r>
          </w:p>
        </w:tc>
        <w:tc>
          <w:tcPr>
            <w:tcW w:w="5246" w:type="dxa"/>
            <w:tcBorders>
              <w:top w:val="nil"/>
              <w:left w:val="nil"/>
              <w:bottom w:val="single" w:sz="4" w:space="0" w:color="auto"/>
              <w:right w:val="single" w:sz="4" w:space="0" w:color="auto"/>
            </w:tcBorders>
            <w:shd w:val="clear" w:color="auto" w:fill="auto"/>
            <w:vAlign w:val="bottom"/>
            <w:hideMark/>
          </w:tcPr>
          <w:p w14:paraId="519289A8" w14:textId="77777777" w:rsidR="005B4301" w:rsidRPr="002F0AC5" w:rsidRDefault="005B4301" w:rsidP="00B57770">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El tiempo crucial para la administra</w:t>
            </w:r>
            <w:r w:rsidR="00F8256B" w:rsidRPr="002F0AC5">
              <w:rPr>
                <w:rFonts w:ascii="Arial" w:eastAsia="Times New Roman" w:hAnsi="Arial" w:cs="Arial"/>
                <w:color w:val="000000"/>
                <w:lang w:eastAsia="es-CO"/>
              </w:rPr>
              <w:t>ción de la profilaxis</w:t>
            </w:r>
            <w:r w:rsidRPr="002F0AC5">
              <w:rPr>
                <w:rFonts w:ascii="Arial" w:eastAsia="Times New Roman" w:hAnsi="Arial" w:cs="Arial"/>
                <w:color w:val="000000"/>
                <w:lang w:eastAsia="es-CO"/>
              </w:rPr>
              <w:t>, el VIH es de máximo 72 horas o 3</w:t>
            </w:r>
            <w:r w:rsidR="00F8256B" w:rsidRPr="002F0AC5">
              <w:rPr>
                <w:rFonts w:ascii="Arial" w:eastAsia="Times New Roman" w:hAnsi="Arial" w:cs="Arial"/>
                <w:color w:val="000000"/>
                <w:lang w:eastAsia="es-CO"/>
              </w:rPr>
              <w:t xml:space="preserve"> días;</w:t>
            </w:r>
            <w:r w:rsidRPr="002F0AC5">
              <w:rPr>
                <w:rFonts w:ascii="Arial" w:eastAsia="Times New Roman" w:hAnsi="Arial" w:cs="Arial"/>
                <w:color w:val="000000"/>
                <w:lang w:eastAsia="es-CO"/>
              </w:rPr>
              <w:t xml:space="preserve"> para la hepatitis B, la mayor efectividad se observa en la administración de la profilaxis en las primeras 12 a 24 horas, pero para exposiciones percutáneas la gammaglobulina se puede aplicar hasta 7 días después de la exposición </w:t>
            </w:r>
          </w:p>
        </w:tc>
      </w:tr>
      <w:tr w:rsidR="005B4301" w:rsidRPr="002F0AC5" w14:paraId="07DC999D" w14:textId="77777777" w:rsidTr="005B4301">
        <w:trPr>
          <w:trHeight w:val="1410"/>
        </w:trPr>
        <w:tc>
          <w:tcPr>
            <w:tcW w:w="3680" w:type="dxa"/>
            <w:tcBorders>
              <w:top w:val="nil"/>
              <w:left w:val="single" w:sz="4" w:space="0" w:color="auto"/>
              <w:bottom w:val="single" w:sz="4" w:space="0" w:color="auto"/>
              <w:right w:val="single" w:sz="4" w:space="0" w:color="auto"/>
            </w:tcBorders>
            <w:shd w:val="clear" w:color="auto" w:fill="auto"/>
            <w:hideMark/>
          </w:tcPr>
          <w:p w14:paraId="0DEA0923"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Análisis de la evaluación del riesgo ERBO/ERBNO</w:t>
            </w:r>
          </w:p>
        </w:tc>
        <w:tc>
          <w:tcPr>
            <w:tcW w:w="5246" w:type="dxa"/>
            <w:tcBorders>
              <w:top w:val="nil"/>
              <w:left w:val="nil"/>
              <w:bottom w:val="single" w:sz="4" w:space="0" w:color="auto"/>
              <w:right w:val="single" w:sz="4" w:space="0" w:color="auto"/>
            </w:tcBorders>
            <w:shd w:val="clear" w:color="auto" w:fill="auto"/>
            <w:hideMark/>
          </w:tcPr>
          <w:p w14:paraId="666D3D7C" w14:textId="77777777" w:rsidR="005B4301" w:rsidRPr="002F0AC5" w:rsidRDefault="005B4301" w:rsidP="005B430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Cada tipo de exposición de riesgo biológico ante el VIH, tiene un nivel de riesgo diferentes y unas intervenciones específicas. Ver tablas a continuación que describen cada una de estas situaciones.</w:t>
            </w:r>
          </w:p>
        </w:tc>
      </w:tr>
    </w:tbl>
    <w:p w14:paraId="7419BFB2" w14:textId="77777777" w:rsidR="005B4301" w:rsidRPr="002F0AC5" w:rsidRDefault="00E2624B" w:rsidP="00532CAC">
      <w:pPr>
        <w:pStyle w:val="Ttulo1"/>
        <w:numPr>
          <w:ilvl w:val="0"/>
          <w:numId w:val="6"/>
        </w:numPr>
      </w:pPr>
      <w:bookmarkStart w:id="5" w:name="_Toc32502165"/>
      <w:r w:rsidRPr="002F0AC5">
        <w:t>EVALUACIÓN DEL RIESGO ANTE UNA EXPOSICIÓN DE RIESGO OCUPACIONAL (EO).</w:t>
      </w:r>
      <w:bookmarkEnd w:id="5"/>
    </w:p>
    <w:p w14:paraId="04994929" w14:textId="4FAC3A70" w:rsidR="003B5F68" w:rsidRPr="002F0AC5" w:rsidRDefault="00E2624B" w:rsidP="00532CAC">
      <w:pPr>
        <w:pStyle w:val="Ttulo2"/>
        <w:numPr>
          <w:ilvl w:val="1"/>
          <w:numId w:val="6"/>
        </w:numPr>
        <w:rPr>
          <w:rFonts w:eastAsia="ArialMT"/>
        </w:rPr>
      </w:pPr>
      <w:bookmarkStart w:id="6" w:name="_Toc32502166"/>
      <w:r w:rsidRPr="002F0AC5">
        <w:t>EVALUACIÓN DEL RIESGO ANTE UNA EXPOSICIÓN OCUPACIONAL</w:t>
      </w:r>
      <w:bookmarkEnd w:id="6"/>
    </w:p>
    <w:p w14:paraId="795D0D09" w14:textId="77777777" w:rsidR="003B5F68" w:rsidRPr="002F0AC5" w:rsidRDefault="003B5F68" w:rsidP="005E1D49">
      <w:pPr>
        <w:autoSpaceDE w:val="0"/>
        <w:autoSpaceDN w:val="0"/>
        <w:adjustRightInd w:val="0"/>
        <w:spacing w:after="0" w:line="240" w:lineRule="auto"/>
        <w:rPr>
          <w:rFonts w:ascii="Arial" w:eastAsia="ArialMT" w:hAnsi="Arial" w:cs="Arial"/>
        </w:rPr>
      </w:pPr>
    </w:p>
    <w:tbl>
      <w:tblPr>
        <w:tblW w:w="8926" w:type="dxa"/>
        <w:tblInd w:w="75" w:type="dxa"/>
        <w:tblCellMar>
          <w:left w:w="70" w:type="dxa"/>
          <w:right w:w="70" w:type="dxa"/>
        </w:tblCellMar>
        <w:tblLook w:val="04A0" w:firstRow="1" w:lastRow="0" w:firstColumn="1" w:lastColumn="0" w:noHBand="0" w:noVBand="1"/>
      </w:tblPr>
      <w:tblGrid>
        <w:gridCol w:w="1763"/>
        <w:gridCol w:w="4186"/>
        <w:gridCol w:w="2977"/>
      </w:tblGrid>
      <w:tr w:rsidR="001A3E4A" w:rsidRPr="002F0AC5" w14:paraId="140C15C5" w14:textId="77777777" w:rsidTr="00FB4616">
        <w:trPr>
          <w:trHeight w:val="300"/>
        </w:trPr>
        <w:tc>
          <w:tcPr>
            <w:tcW w:w="17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CA17F2" w14:textId="59BC8585" w:rsidR="001A3E4A" w:rsidRPr="002F0AC5" w:rsidRDefault="00FB4616" w:rsidP="00FB4616">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TIPO DE EXPOSICIÓN</w:t>
            </w:r>
          </w:p>
        </w:tc>
        <w:tc>
          <w:tcPr>
            <w:tcW w:w="41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1055430" w14:textId="484584BC" w:rsidR="001A3E4A" w:rsidRPr="002F0AC5" w:rsidRDefault="00FB4616" w:rsidP="00FB4616">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TIPO DE FLUIDO POTENCIALMENTE INFECTANTE O NO INFECTANTE</w:t>
            </w:r>
          </w:p>
        </w:tc>
        <w:tc>
          <w:tcPr>
            <w:tcW w:w="297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47B94E7" w14:textId="1FBA41CD" w:rsidR="001A3E4A" w:rsidRPr="002F0AC5" w:rsidRDefault="00FB4616" w:rsidP="00FB4616">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RECOMENDACIÓN</w:t>
            </w:r>
          </w:p>
        </w:tc>
      </w:tr>
      <w:tr w:rsidR="001A3E4A" w:rsidRPr="002F0AC5" w14:paraId="53119E00" w14:textId="77777777" w:rsidTr="00FB4616">
        <w:trPr>
          <w:trHeight w:val="1305"/>
        </w:trPr>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14:paraId="2EABF4B8" w14:textId="77777777" w:rsidR="001A3E4A" w:rsidRPr="002F0AC5" w:rsidRDefault="001A3E4A" w:rsidP="001A3E4A">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Percutánea</w:t>
            </w:r>
          </w:p>
        </w:tc>
        <w:tc>
          <w:tcPr>
            <w:tcW w:w="4186" w:type="dxa"/>
            <w:tcBorders>
              <w:top w:val="nil"/>
              <w:left w:val="nil"/>
              <w:bottom w:val="single" w:sz="4" w:space="0" w:color="auto"/>
              <w:right w:val="single" w:sz="4" w:space="0" w:color="auto"/>
            </w:tcBorders>
            <w:shd w:val="clear" w:color="auto" w:fill="auto"/>
            <w:vAlign w:val="center"/>
            <w:hideMark/>
          </w:tcPr>
          <w:p w14:paraId="15D7FBA1"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1. Sangre:                                                                                                                      *Riesgo muy alto                                                                               **Riesgo alto                                                                                                                  ***Riesgo no alto</w:t>
            </w:r>
          </w:p>
        </w:tc>
        <w:tc>
          <w:tcPr>
            <w:tcW w:w="2977" w:type="dxa"/>
            <w:tcBorders>
              <w:top w:val="nil"/>
              <w:left w:val="nil"/>
              <w:bottom w:val="single" w:sz="4" w:space="0" w:color="auto"/>
              <w:right w:val="single" w:sz="4" w:space="0" w:color="auto"/>
            </w:tcBorders>
            <w:shd w:val="clear" w:color="auto" w:fill="auto"/>
            <w:vAlign w:val="center"/>
            <w:hideMark/>
          </w:tcPr>
          <w:p w14:paraId="559A6961" w14:textId="77777777" w:rsidR="00FB4616"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*Iniciar PPE              </w:t>
            </w:r>
          </w:p>
          <w:p w14:paraId="145617D5" w14:textId="77777777" w:rsidR="00FB4616"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**Iniciar PPE           </w:t>
            </w:r>
          </w:p>
          <w:p w14:paraId="19DD1F97" w14:textId="1FC99B43"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***Iniciar PPE teniendo en cuenta </w:t>
            </w:r>
            <w:proofErr w:type="spellStart"/>
            <w:r w:rsidRPr="002F0AC5">
              <w:rPr>
                <w:rFonts w:ascii="Arial" w:eastAsia="Times New Roman" w:hAnsi="Arial" w:cs="Arial"/>
                <w:color w:val="000000"/>
                <w:lang w:eastAsia="es-CO"/>
              </w:rPr>
              <w:t>ǂǂ</w:t>
            </w:r>
            <w:proofErr w:type="spellEnd"/>
          </w:p>
        </w:tc>
      </w:tr>
      <w:tr w:rsidR="001A3E4A" w:rsidRPr="002F0AC5" w14:paraId="609EEE02" w14:textId="77777777" w:rsidTr="00FB4616">
        <w:trPr>
          <w:trHeight w:val="808"/>
        </w:trPr>
        <w:tc>
          <w:tcPr>
            <w:tcW w:w="1763" w:type="dxa"/>
            <w:vMerge/>
            <w:tcBorders>
              <w:top w:val="nil"/>
              <w:left w:val="single" w:sz="4" w:space="0" w:color="auto"/>
              <w:bottom w:val="single" w:sz="4" w:space="0" w:color="000000"/>
              <w:right w:val="single" w:sz="4" w:space="0" w:color="auto"/>
            </w:tcBorders>
            <w:vAlign w:val="center"/>
            <w:hideMark/>
          </w:tcPr>
          <w:p w14:paraId="65E73E0A" w14:textId="77777777" w:rsidR="001A3E4A" w:rsidRPr="002F0AC5" w:rsidRDefault="001A3E4A" w:rsidP="001A3E4A">
            <w:pPr>
              <w:spacing w:after="0" w:line="240" w:lineRule="auto"/>
              <w:rPr>
                <w:rFonts w:ascii="Arial" w:eastAsia="Times New Roman" w:hAnsi="Arial" w:cs="Arial"/>
                <w:color w:val="000000"/>
                <w:lang w:eastAsia="es-CO"/>
              </w:rPr>
            </w:pPr>
          </w:p>
        </w:tc>
        <w:tc>
          <w:tcPr>
            <w:tcW w:w="4186" w:type="dxa"/>
            <w:tcBorders>
              <w:top w:val="nil"/>
              <w:left w:val="nil"/>
              <w:bottom w:val="single" w:sz="4" w:space="0" w:color="auto"/>
              <w:right w:val="single" w:sz="4" w:space="0" w:color="auto"/>
            </w:tcBorders>
            <w:shd w:val="clear" w:color="auto" w:fill="auto"/>
            <w:vAlign w:val="center"/>
            <w:hideMark/>
          </w:tcPr>
          <w:p w14:paraId="7343EFE1" w14:textId="4C38B7E6"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2. Líquido que contiene sangre, otros </w:t>
            </w:r>
            <w:r w:rsidR="00FB4616" w:rsidRPr="002F0AC5">
              <w:rPr>
                <w:rFonts w:ascii="Arial" w:eastAsia="Times New Roman" w:hAnsi="Arial" w:cs="Arial"/>
                <w:color w:val="000000"/>
                <w:lang w:eastAsia="es-CO"/>
              </w:rPr>
              <w:t>fluidos potencialmente</w:t>
            </w:r>
            <w:r w:rsidRPr="002F0AC5">
              <w:rPr>
                <w:rFonts w:ascii="Arial" w:eastAsia="Times New Roman" w:hAnsi="Arial" w:cs="Arial"/>
                <w:color w:val="000000"/>
                <w:lang w:eastAsia="es-CO"/>
              </w:rPr>
              <w:t xml:space="preserve"> infectantes (#) o tejidos                                                                                                                                                                                                                                                  </w:t>
            </w:r>
          </w:p>
        </w:tc>
        <w:tc>
          <w:tcPr>
            <w:tcW w:w="2977" w:type="dxa"/>
            <w:tcBorders>
              <w:top w:val="nil"/>
              <w:left w:val="nil"/>
              <w:bottom w:val="single" w:sz="4" w:space="0" w:color="auto"/>
              <w:right w:val="single" w:sz="4" w:space="0" w:color="auto"/>
            </w:tcBorders>
            <w:shd w:val="clear" w:color="auto" w:fill="auto"/>
            <w:vAlign w:val="center"/>
            <w:hideMark/>
          </w:tcPr>
          <w:p w14:paraId="10567A4F"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Iniciar PPE. Tener en cuenta </w:t>
            </w:r>
            <w:proofErr w:type="spellStart"/>
            <w:r w:rsidRPr="002F0AC5">
              <w:rPr>
                <w:rFonts w:ascii="Arial" w:eastAsia="Times New Roman" w:hAnsi="Arial" w:cs="Arial"/>
                <w:color w:val="000000"/>
                <w:lang w:eastAsia="es-CO"/>
              </w:rPr>
              <w:t>ǂǂ</w:t>
            </w:r>
            <w:proofErr w:type="spellEnd"/>
          </w:p>
        </w:tc>
      </w:tr>
      <w:tr w:rsidR="001A3E4A" w:rsidRPr="002F0AC5" w14:paraId="6A446441" w14:textId="77777777" w:rsidTr="00FB4616">
        <w:trPr>
          <w:trHeight w:val="570"/>
        </w:trPr>
        <w:tc>
          <w:tcPr>
            <w:tcW w:w="1763" w:type="dxa"/>
            <w:vMerge/>
            <w:tcBorders>
              <w:top w:val="nil"/>
              <w:left w:val="single" w:sz="4" w:space="0" w:color="auto"/>
              <w:bottom w:val="single" w:sz="4" w:space="0" w:color="000000"/>
              <w:right w:val="single" w:sz="4" w:space="0" w:color="auto"/>
            </w:tcBorders>
            <w:vAlign w:val="center"/>
            <w:hideMark/>
          </w:tcPr>
          <w:p w14:paraId="4C1D9D3D" w14:textId="77777777" w:rsidR="001A3E4A" w:rsidRPr="002F0AC5" w:rsidRDefault="001A3E4A" w:rsidP="001A3E4A">
            <w:pPr>
              <w:spacing w:after="0" w:line="240" w:lineRule="auto"/>
              <w:rPr>
                <w:rFonts w:ascii="Arial" w:eastAsia="Times New Roman" w:hAnsi="Arial" w:cs="Arial"/>
                <w:color w:val="000000"/>
                <w:lang w:eastAsia="es-CO"/>
              </w:rPr>
            </w:pPr>
          </w:p>
        </w:tc>
        <w:tc>
          <w:tcPr>
            <w:tcW w:w="4186" w:type="dxa"/>
            <w:tcBorders>
              <w:top w:val="nil"/>
              <w:left w:val="nil"/>
              <w:bottom w:val="single" w:sz="4" w:space="0" w:color="auto"/>
              <w:right w:val="single" w:sz="4" w:space="0" w:color="auto"/>
            </w:tcBorders>
            <w:shd w:val="clear" w:color="auto" w:fill="auto"/>
            <w:vAlign w:val="center"/>
            <w:hideMark/>
          </w:tcPr>
          <w:p w14:paraId="2726172F"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3. Otros líquidos corporales no infectantes</w:t>
            </w:r>
          </w:p>
        </w:tc>
        <w:tc>
          <w:tcPr>
            <w:tcW w:w="2977" w:type="dxa"/>
            <w:tcBorders>
              <w:top w:val="nil"/>
              <w:left w:val="nil"/>
              <w:bottom w:val="single" w:sz="4" w:space="0" w:color="auto"/>
              <w:right w:val="single" w:sz="4" w:space="0" w:color="auto"/>
            </w:tcBorders>
            <w:shd w:val="clear" w:color="auto" w:fill="auto"/>
            <w:noWrap/>
            <w:vAlign w:val="center"/>
            <w:hideMark/>
          </w:tcPr>
          <w:p w14:paraId="7B5440BC"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No se recomienda PPE</w:t>
            </w:r>
          </w:p>
        </w:tc>
      </w:tr>
      <w:tr w:rsidR="001A3E4A" w:rsidRPr="002F0AC5" w14:paraId="640828CF" w14:textId="77777777" w:rsidTr="00FB4616">
        <w:trPr>
          <w:trHeight w:val="1110"/>
        </w:trPr>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14:paraId="5CC70A79" w14:textId="77777777" w:rsidR="001A3E4A" w:rsidRPr="002F0AC5" w:rsidRDefault="001A3E4A" w:rsidP="001A3E4A">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Mucosas</w:t>
            </w:r>
          </w:p>
        </w:tc>
        <w:tc>
          <w:tcPr>
            <w:tcW w:w="4186" w:type="dxa"/>
            <w:tcBorders>
              <w:top w:val="nil"/>
              <w:left w:val="nil"/>
              <w:bottom w:val="single" w:sz="4" w:space="0" w:color="auto"/>
              <w:right w:val="single" w:sz="4" w:space="0" w:color="auto"/>
            </w:tcBorders>
            <w:shd w:val="clear" w:color="auto" w:fill="auto"/>
            <w:vAlign w:val="center"/>
            <w:hideMark/>
          </w:tcPr>
          <w:p w14:paraId="5AE99D45"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1. Sangre:                                                                                                  Riesgo muy alto                                                                                     Riesgo alto                                                                                                       Riesgo no alto</w:t>
            </w:r>
          </w:p>
        </w:tc>
        <w:tc>
          <w:tcPr>
            <w:tcW w:w="2977" w:type="dxa"/>
            <w:tcBorders>
              <w:top w:val="nil"/>
              <w:left w:val="nil"/>
              <w:bottom w:val="single" w:sz="4" w:space="0" w:color="auto"/>
              <w:right w:val="single" w:sz="4" w:space="0" w:color="auto"/>
            </w:tcBorders>
            <w:shd w:val="clear" w:color="auto" w:fill="auto"/>
            <w:vAlign w:val="center"/>
            <w:hideMark/>
          </w:tcPr>
          <w:p w14:paraId="4F434DB0"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Valorar individualmente </w:t>
            </w:r>
            <w:proofErr w:type="spellStart"/>
            <w:r w:rsidRPr="002F0AC5">
              <w:rPr>
                <w:rFonts w:ascii="Arial" w:eastAsia="Times New Roman" w:hAnsi="Arial" w:cs="Arial"/>
                <w:color w:val="000000"/>
                <w:lang w:eastAsia="es-CO"/>
              </w:rPr>
              <w:t>ɸɸ</w:t>
            </w:r>
            <w:proofErr w:type="spellEnd"/>
          </w:p>
        </w:tc>
      </w:tr>
      <w:tr w:rsidR="001A3E4A" w:rsidRPr="002F0AC5" w14:paraId="0A43F017" w14:textId="77777777" w:rsidTr="00FB4616">
        <w:trPr>
          <w:trHeight w:val="750"/>
        </w:trPr>
        <w:tc>
          <w:tcPr>
            <w:tcW w:w="1763" w:type="dxa"/>
            <w:vMerge/>
            <w:tcBorders>
              <w:top w:val="nil"/>
              <w:left w:val="single" w:sz="4" w:space="0" w:color="auto"/>
              <w:bottom w:val="single" w:sz="4" w:space="0" w:color="000000"/>
              <w:right w:val="single" w:sz="4" w:space="0" w:color="auto"/>
            </w:tcBorders>
            <w:vAlign w:val="center"/>
            <w:hideMark/>
          </w:tcPr>
          <w:p w14:paraId="28127F2B" w14:textId="77777777" w:rsidR="001A3E4A" w:rsidRPr="002F0AC5" w:rsidRDefault="001A3E4A" w:rsidP="001A3E4A">
            <w:pPr>
              <w:spacing w:after="0" w:line="240" w:lineRule="auto"/>
              <w:rPr>
                <w:rFonts w:ascii="Arial" w:eastAsia="Times New Roman" w:hAnsi="Arial" w:cs="Arial"/>
                <w:color w:val="000000"/>
                <w:lang w:eastAsia="es-CO"/>
              </w:rPr>
            </w:pPr>
          </w:p>
        </w:tc>
        <w:tc>
          <w:tcPr>
            <w:tcW w:w="4186" w:type="dxa"/>
            <w:tcBorders>
              <w:top w:val="nil"/>
              <w:left w:val="nil"/>
              <w:bottom w:val="single" w:sz="4" w:space="0" w:color="auto"/>
              <w:right w:val="single" w:sz="4" w:space="0" w:color="auto"/>
            </w:tcBorders>
            <w:shd w:val="clear" w:color="auto" w:fill="auto"/>
            <w:vAlign w:val="center"/>
            <w:hideMark/>
          </w:tcPr>
          <w:p w14:paraId="68A552A9"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2. Líquido que contiene sangre, otros fluidos potencialmente infectantes (#) o tejidos.</w:t>
            </w:r>
          </w:p>
        </w:tc>
        <w:tc>
          <w:tcPr>
            <w:tcW w:w="2977" w:type="dxa"/>
            <w:tcBorders>
              <w:top w:val="nil"/>
              <w:left w:val="nil"/>
              <w:bottom w:val="single" w:sz="4" w:space="0" w:color="auto"/>
              <w:right w:val="single" w:sz="4" w:space="0" w:color="auto"/>
            </w:tcBorders>
            <w:shd w:val="clear" w:color="auto" w:fill="auto"/>
            <w:vAlign w:val="center"/>
            <w:hideMark/>
          </w:tcPr>
          <w:p w14:paraId="29610685"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Valorar individualmente </w:t>
            </w:r>
            <w:proofErr w:type="spellStart"/>
            <w:r w:rsidRPr="002F0AC5">
              <w:rPr>
                <w:rFonts w:ascii="Arial" w:eastAsia="Times New Roman" w:hAnsi="Arial" w:cs="Arial"/>
                <w:color w:val="000000"/>
                <w:lang w:eastAsia="es-CO"/>
              </w:rPr>
              <w:t>ɸɸ</w:t>
            </w:r>
            <w:proofErr w:type="spellEnd"/>
          </w:p>
        </w:tc>
      </w:tr>
      <w:tr w:rsidR="001A3E4A" w:rsidRPr="002F0AC5" w14:paraId="59F63877" w14:textId="77777777" w:rsidTr="00FB4616">
        <w:trPr>
          <w:trHeight w:val="405"/>
        </w:trPr>
        <w:tc>
          <w:tcPr>
            <w:tcW w:w="1763" w:type="dxa"/>
            <w:vMerge/>
            <w:tcBorders>
              <w:top w:val="nil"/>
              <w:left w:val="single" w:sz="4" w:space="0" w:color="auto"/>
              <w:bottom w:val="single" w:sz="4" w:space="0" w:color="000000"/>
              <w:right w:val="single" w:sz="4" w:space="0" w:color="auto"/>
            </w:tcBorders>
            <w:vAlign w:val="center"/>
            <w:hideMark/>
          </w:tcPr>
          <w:p w14:paraId="6B5E58AD" w14:textId="77777777" w:rsidR="001A3E4A" w:rsidRPr="002F0AC5" w:rsidRDefault="001A3E4A" w:rsidP="001A3E4A">
            <w:pPr>
              <w:spacing w:after="0" w:line="240" w:lineRule="auto"/>
              <w:rPr>
                <w:rFonts w:ascii="Arial" w:eastAsia="Times New Roman" w:hAnsi="Arial" w:cs="Arial"/>
                <w:color w:val="000000"/>
                <w:lang w:eastAsia="es-CO"/>
              </w:rPr>
            </w:pPr>
          </w:p>
        </w:tc>
        <w:tc>
          <w:tcPr>
            <w:tcW w:w="4186" w:type="dxa"/>
            <w:tcBorders>
              <w:top w:val="nil"/>
              <w:left w:val="nil"/>
              <w:bottom w:val="single" w:sz="4" w:space="0" w:color="auto"/>
              <w:right w:val="single" w:sz="4" w:space="0" w:color="auto"/>
            </w:tcBorders>
            <w:shd w:val="clear" w:color="auto" w:fill="auto"/>
            <w:vAlign w:val="center"/>
            <w:hideMark/>
          </w:tcPr>
          <w:p w14:paraId="1D7CD924"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3. Otros líquidos corporales no infectantes</w:t>
            </w:r>
          </w:p>
        </w:tc>
        <w:tc>
          <w:tcPr>
            <w:tcW w:w="2977" w:type="dxa"/>
            <w:tcBorders>
              <w:top w:val="nil"/>
              <w:left w:val="nil"/>
              <w:bottom w:val="single" w:sz="4" w:space="0" w:color="auto"/>
              <w:right w:val="single" w:sz="4" w:space="0" w:color="auto"/>
            </w:tcBorders>
            <w:shd w:val="clear" w:color="auto" w:fill="auto"/>
            <w:noWrap/>
            <w:vAlign w:val="center"/>
            <w:hideMark/>
          </w:tcPr>
          <w:p w14:paraId="59A2E9F5"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No se recomienda PPE</w:t>
            </w:r>
          </w:p>
        </w:tc>
      </w:tr>
      <w:tr w:rsidR="001A3E4A" w:rsidRPr="002F0AC5" w14:paraId="70FD9DF4" w14:textId="77777777" w:rsidTr="00FB4616">
        <w:trPr>
          <w:trHeight w:val="975"/>
        </w:trPr>
        <w:tc>
          <w:tcPr>
            <w:tcW w:w="1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E10C9D" w14:textId="77777777" w:rsidR="001A3E4A" w:rsidRPr="002F0AC5" w:rsidRDefault="001A3E4A" w:rsidP="001A3E4A">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Piel alto riesgo (&amp;)</w:t>
            </w:r>
          </w:p>
        </w:tc>
        <w:tc>
          <w:tcPr>
            <w:tcW w:w="4186" w:type="dxa"/>
            <w:tcBorders>
              <w:top w:val="nil"/>
              <w:left w:val="nil"/>
              <w:bottom w:val="single" w:sz="4" w:space="0" w:color="auto"/>
              <w:right w:val="single" w:sz="4" w:space="0" w:color="auto"/>
            </w:tcBorders>
            <w:shd w:val="clear" w:color="auto" w:fill="auto"/>
            <w:vAlign w:val="center"/>
            <w:hideMark/>
          </w:tcPr>
          <w:p w14:paraId="35ADC5A4"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1. Sangre:                                                                                                  Riesgo muy alto                                                                                     Riesgo alto                                                                                                       Riesgo no alto</w:t>
            </w:r>
          </w:p>
        </w:tc>
        <w:tc>
          <w:tcPr>
            <w:tcW w:w="2977" w:type="dxa"/>
            <w:tcBorders>
              <w:top w:val="nil"/>
              <w:left w:val="nil"/>
              <w:bottom w:val="single" w:sz="4" w:space="0" w:color="auto"/>
              <w:right w:val="single" w:sz="4" w:space="0" w:color="auto"/>
            </w:tcBorders>
            <w:shd w:val="clear" w:color="auto" w:fill="auto"/>
            <w:vAlign w:val="center"/>
            <w:hideMark/>
          </w:tcPr>
          <w:p w14:paraId="6683FFEA"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Valorar individualmente </w:t>
            </w:r>
            <w:proofErr w:type="spellStart"/>
            <w:r w:rsidRPr="002F0AC5">
              <w:rPr>
                <w:rFonts w:ascii="Arial" w:eastAsia="Times New Roman" w:hAnsi="Arial" w:cs="Arial"/>
                <w:color w:val="000000"/>
                <w:lang w:eastAsia="es-CO"/>
              </w:rPr>
              <w:t>ɸɸ</w:t>
            </w:r>
            <w:proofErr w:type="spellEnd"/>
          </w:p>
        </w:tc>
      </w:tr>
      <w:tr w:rsidR="001A3E4A" w:rsidRPr="002F0AC5" w14:paraId="6262B615" w14:textId="77777777" w:rsidTr="00FB4616">
        <w:trPr>
          <w:trHeight w:val="781"/>
        </w:trPr>
        <w:tc>
          <w:tcPr>
            <w:tcW w:w="1763" w:type="dxa"/>
            <w:vMerge/>
            <w:tcBorders>
              <w:top w:val="nil"/>
              <w:left w:val="single" w:sz="4" w:space="0" w:color="auto"/>
              <w:bottom w:val="single" w:sz="4" w:space="0" w:color="000000"/>
              <w:right w:val="single" w:sz="4" w:space="0" w:color="auto"/>
            </w:tcBorders>
            <w:vAlign w:val="center"/>
            <w:hideMark/>
          </w:tcPr>
          <w:p w14:paraId="4CA193B3" w14:textId="77777777" w:rsidR="001A3E4A" w:rsidRPr="002F0AC5" w:rsidRDefault="001A3E4A" w:rsidP="001A3E4A">
            <w:pPr>
              <w:spacing w:after="0" w:line="240" w:lineRule="auto"/>
              <w:rPr>
                <w:rFonts w:ascii="Arial" w:eastAsia="Times New Roman" w:hAnsi="Arial" w:cs="Arial"/>
                <w:color w:val="000000"/>
                <w:lang w:eastAsia="es-CO"/>
              </w:rPr>
            </w:pPr>
          </w:p>
        </w:tc>
        <w:tc>
          <w:tcPr>
            <w:tcW w:w="4186" w:type="dxa"/>
            <w:tcBorders>
              <w:top w:val="nil"/>
              <w:left w:val="nil"/>
              <w:bottom w:val="single" w:sz="4" w:space="0" w:color="auto"/>
              <w:right w:val="single" w:sz="4" w:space="0" w:color="auto"/>
            </w:tcBorders>
            <w:shd w:val="clear" w:color="auto" w:fill="auto"/>
            <w:vAlign w:val="center"/>
            <w:hideMark/>
          </w:tcPr>
          <w:p w14:paraId="6DAC0FD1"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2. Líquido que contiene sangre, otros fluidos potencialmente infectantes (#) o tejidos.</w:t>
            </w:r>
          </w:p>
        </w:tc>
        <w:tc>
          <w:tcPr>
            <w:tcW w:w="2977" w:type="dxa"/>
            <w:tcBorders>
              <w:top w:val="nil"/>
              <w:left w:val="nil"/>
              <w:bottom w:val="single" w:sz="4" w:space="0" w:color="auto"/>
              <w:right w:val="single" w:sz="4" w:space="0" w:color="auto"/>
            </w:tcBorders>
            <w:shd w:val="clear" w:color="auto" w:fill="auto"/>
            <w:vAlign w:val="center"/>
            <w:hideMark/>
          </w:tcPr>
          <w:p w14:paraId="7CE7C44D"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Valorar individualmente </w:t>
            </w:r>
            <w:proofErr w:type="spellStart"/>
            <w:r w:rsidRPr="002F0AC5">
              <w:rPr>
                <w:rFonts w:ascii="Arial" w:eastAsia="Times New Roman" w:hAnsi="Arial" w:cs="Arial"/>
                <w:color w:val="000000"/>
                <w:lang w:eastAsia="es-CO"/>
              </w:rPr>
              <w:t>ɸɸ</w:t>
            </w:r>
            <w:proofErr w:type="spellEnd"/>
          </w:p>
        </w:tc>
      </w:tr>
      <w:tr w:rsidR="001A3E4A" w:rsidRPr="002F0AC5" w14:paraId="790CE087" w14:textId="77777777" w:rsidTr="00FB4616">
        <w:trPr>
          <w:trHeight w:val="300"/>
        </w:trPr>
        <w:tc>
          <w:tcPr>
            <w:tcW w:w="1763" w:type="dxa"/>
            <w:vMerge/>
            <w:tcBorders>
              <w:top w:val="nil"/>
              <w:left w:val="single" w:sz="4" w:space="0" w:color="auto"/>
              <w:bottom w:val="single" w:sz="4" w:space="0" w:color="000000"/>
              <w:right w:val="single" w:sz="4" w:space="0" w:color="auto"/>
            </w:tcBorders>
            <w:vAlign w:val="center"/>
            <w:hideMark/>
          </w:tcPr>
          <w:p w14:paraId="7FF0240F" w14:textId="77777777" w:rsidR="001A3E4A" w:rsidRPr="002F0AC5" w:rsidRDefault="001A3E4A" w:rsidP="001A3E4A">
            <w:pPr>
              <w:spacing w:after="0" w:line="240" w:lineRule="auto"/>
              <w:rPr>
                <w:rFonts w:ascii="Arial" w:eastAsia="Times New Roman" w:hAnsi="Arial" w:cs="Arial"/>
                <w:color w:val="000000"/>
                <w:lang w:eastAsia="es-CO"/>
              </w:rPr>
            </w:pPr>
          </w:p>
        </w:tc>
        <w:tc>
          <w:tcPr>
            <w:tcW w:w="4186" w:type="dxa"/>
            <w:tcBorders>
              <w:top w:val="nil"/>
              <w:left w:val="nil"/>
              <w:bottom w:val="single" w:sz="4" w:space="0" w:color="auto"/>
              <w:right w:val="single" w:sz="4" w:space="0" w:color="auto"/>
            </w:tcBorders>
            <w:shd w:val="clear" w:color="auto" w:fill="auto"/>
            <w:vAlign w:val="center"/>
            <w:hideMark/>
          </w:tcPr>
          <w:p w14:paraId="3AA44AE3"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3. Otros líquidos corporales no infectantes</w:t>
            </w:r>
          </w:p>
        </w:tc>
        <w:tc>
          <w:tcPr>
            <w:tcW w:w="2977" w:type="dxa"/>
            <w:tcBorders>
              <w:top w:val="nil"/>
              <w:left w:val="nil"/>
              <w:bottom w:val="single" w:sz="4" w:space="0" w:color="auto"/>
              <w:right w:val="single" w:sz="4" w:space="0" w:color="auto"/>
            </w:tcBorders>
            <w:shd w:val="clear" w:color="auto" w:fill="auto"/>
            <w:noWrap/>
            <w:vAlign w:val="center"/>
            <w:hideMark/>
          </w:tcPr>
          <w:p w14:paraId="4BD9AE9F" w14:textId="77777777" w:rsidR="001A3E4A" w:rsidRPr="002F0AC5" w:rsidRDefault="001A3E4A"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No se recomienda PPE</w:t>
            </w:r>
          </w:p>
        </w:tc>
      </w:tr>
    </w:tbl>
    <w:p w14:paraId="7E0E81EB" w14:textId="77777777" w:rsidR="003B5F68" w:rsidRPr="002F0AC5" w:rsidRDefault="003B5F68" w:rsidP="005E1D49">
      <w:pPr>
        <w:autoSpaceDE w:val="0"/>
        <w:autoSpaceDN w:val="0"/>
        <w:adjustRightInd w:val="0"/>
        <w:spacing w:after="0" w:line="240" w:lineRule="auto"/>
        <w:rPr>
          <w:rFonts w:ascii="Arial" w:eastAsia="ArialMT" w:hAnsi="Arial" w:cs="Arial"/>
        </w:rPr>
      </w:pPr>
    </w:p>
    <w:p w14:paraId="0DF6053E" w14:textId="77777777" w:rsidR="005127C5" w:rsidRPr="002F0AC5" w:rsidRDefault="005127C5" w:rsidP="005127C5">
      <w:pPr>
        <w:autoSpaceDE w:val="0"/>
        <w:autoSpaceDN w:val="0"/>
        <w:adjustRightInd w:val="0"/>
        <w:spacing w:after="0" w:line="240" w:lineRule="auto"/>
        <w:rPr>
          <w:rFonts w:ascii="Arial" w:eastAsia="ArialMT" w:hAnsi="Arial" w:cs="Arial"/>
        </w:rPr>
      </w:pPr>
      <w:r w:rsidRPr="002F0AC5">
        <w:rPr>
          <w:rFonts w:ascii="Arial" w:eastAsia="ArialMT" w:hAnsi="Arial" w:cs="Arial"/>
        </w:rPr>
        <w:t>Claves de la tabla:</w:t>
      </w:r>
    </w:p>
    <w:p w14:paraId="3233E10F" w14:textId="77777777" w:rsidR="005127C5" w:rsidRPr="002F0AC5" w:rsidRDefault="005127C5" w:rsidP="005127C5">
      <w:pPr>
        <w:autoSpaceDE w:val="0"/>
        <w:autoSpaceDN w:val="0"/>
        <w:adjustRightInd w:val="0"/>
        <w:spacing w:after="0" w:line="240" w:lineRule="auto"/>
        <w:rPr>
          <w:rFonts w:ascii="Arial" w:eastAsia="ArialMT" w:hAnsi="Arial" w:cs="Arial"/>
        </w:rPr>
      </w:pPr>
    </w:p>
    <w:p w14:paraId="0B4DC582" w14:textId="77777777" w:rsidR="005127C5" w:rsidRPr="002F0AC5" w:rsidRDefault="005127C5" w:rsidP="005127C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Riesgo muy alto para VIH se define como accidente con gran volumen de sangre (pinchazo profundo con aguja utilizada en acceso vascular del paciente) y con carga viral de VIH elevada.</w:t>
      </w:r>
    </w:p>
    <w:p w14:paraId="419EC386" w14:textId="77777777" w:rsidR="005127C5" w:rsidRPr="002F0AC5" w:rsidRDefault="005127C5" w:rsidP="005127C5">
      <w:pPr>
        <w:autoSpaceDE w:val="0"/>
        <w:autoSpaceDN w:val="0"/>
        <w:adjustRightInd w:val="0"/>
        <w:spacing w:after="0" w:line="240" w:lineRule="auto"/>
        <w:rPr>
          <w:rFonts w:ascii="Arial" w:eastAsia="ArialMT" w:hAnsi="Arial" w:cs="Arial"/>
        </w:rPr>
      </w:pPr>
    </w:p>
    <w:p w14:paraId="02BFC779" w14:textId="77777777" w:rsidR="005127C5" w:rsidRPr="002F0AC5" w:rsidRDefault="005127C5" w:rsidP="005127C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**Riesgo alto para VIH se define como accidente con alto volumen de sangre o accidente con sangre que contiene carga viral VIH elevada.</w:t>
      </w:r>
    </w:p>
    <w:p w14:paraId="12540DA1" w14:textId="77777777" w:rsidR="005127C5" w:rsidRPr="002F0AC5" w:rsidRDefault="005127C5" w:rsidP="005127C5">
      <w:pPr>
        <w:autoSpaceDE w:val="0"/>
        <w:autoSpaceDN w:val="0"/>
        <w:adjustRightInd w:val="0"/>
        <w:spacing w:after="0" w:line="240" w:lineRule="auto"/>
        <w:rPr>
          <w:rFonts w:ascii="Arial" w:eastAsia="ArialMT" w:hAnsi="Arial" w:cs="Arial"/>
        </w:rPr>
      </w:pPr>
    </w:p>
    <w:p w14:paraId="3D9B9476" w14:textId="77777777" w:rsidR="005127C5" w:rsidRPr="002F0AC5" w:rsidRDefault="005127C5" w:rsidP="005127C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***Riesgo no alto para VIH: es aquel accidente en el que no se da exposición a gran volumen de sangre ni a sangre con carga viral VIH elevada (pinchazo con aguja de sutura de paciente con carga viral baja o indetectable)</w:t>
      </w:r>
    </w:p>
    <w:p w14:paraId="149B3B7A" w14:textId="77777777" w:rsidR="005127C5" w:rsidRPr="002F0AC5" w:rsidRDefault="005127C5" w:rsidP="005127C5">
      <w:pPr>
        <w:autoSpaceDE w:val="0"/>
        <w:autoSpaceDN w:val="0"/>
        <w:adjustRightInd w:val="0"/>
        <w:spacing w:after="0" w:line="240" w:lineRule="auto"/>
        <w:rPr>
          <w:rFonts w:ascii="Arial" w:eastAsia="ArialMT" w:hAnsi="Arial" w:cs="Arial"/>
        </w:rPr>
      </w:pPr>
    </w:p>
    <w:p w14:paraId="22456B2C" w14:textId="77777777" w:rsidR="005127C5" w:rsidRPr="002F0AC5" w:rsidRDefault="005127C5" w:rsidP="005127C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 incluye semen, secreciones vaginales, LCR y líquidos sinovial, pleural, peritoneal, pericárdico y amniótico.</w:t>
      </w:r>
    </w:p>
    <w:p w14:paraId="5C2D4522" w14:textId="77777777" w:rsidR="005127C5" w:rsidRPr="002F0AC5" w:rsidRDefault="005127C5" w:rsidP="005127C5">
      <w:pPr>
        <w:autoSpaceDE w:val="0"/>
        <w:autoSpaceDN w:val="0"/>
        <w:adjustRightInd w:val="0"/>
        <w:spacing w:after="0" w:line="240" w:lineRule="auto"/>
        <w:jc w:val="both"/>
        <w:rPr>
          <w:rFonts w:ascii="Arial" w:eastAsia="ArialMT" w:hAnsi="Arial" w:cs="Arial"/>
        </w:rPr>
      </w:pPr>
    </w:p>
    <w:p w14:paraId="4FC21480" w14:textId="77777777" w:rsidR="005127C5" w:rsidRPr="002F0AC5" w:rsidRDefault="005127C5" w:rsidP="005127C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&amp;: Contactos cutáneos de alto riesgo cuando se trata de líquidos con carga viral de VIH elevada, el contacto es muy prolongado, el área es extensa o hay zonas de piel no integra.</w:t>
      </w:r>
    </w:p>
    <w:p w14:paraId="63994299" w14:textId="77777777" w:rsidR="005127C5" w:rsidRPr="002F0AC5" w:rsidRDefault="005127C5" w:rsidP="005127C5">
      <w:pPr>
        <w:autoSpaceDE w:val="0"/>
        <w:autoSpaceDN w:val="0"/>
        <w:adjustRightInd w:val="0"/>
        <w:spacing w:after="0" w:line="240" w:lineRule="auto"/>
        <w:jc w:val="both"/>
        <w:rPr>
          <w:rFonts w:ascii="Arial" w:eastAsia="ArialMT" w:hAnsi="Arial" w:cs="Arial"/>
        </w:rPr>
      </w:pPr>
    </w:p>
    <w:p w14:paraId="099CC818" w14:textId="55493153" w:rsidR="005127C5" w:rsidRPr="002F0AC5" w:rsidRDefault="005127C5" w:rsidP="005127C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 </w:t>
      </w:r>
      <w:proofErr w:type="spellStart"/>
      <w:r w:rsidRPr="002F0AC5">
        <w:rPr>
          <w:rFonts w:ascii="Arial" w:eastAsia="ArialMT" w:hAnsi="Arial" w:cs="Arial"/>
        </w:rPr>
        <w:t>ǂǂ</w:t>
      </w:r>
      <w:proofErr w:type="spellEnd"/>
      <w:r w:rsidRPr="002F0AC5">
        <w:rPr>
          <w:rFonts w:ascii="Arial" w:eastAsia="ArialMT" w:hAnsi="Arial" w:cs="Arial"/>
        </w:rPr>
        <w:t>: Cuando la carga viral de VIH de la fuente es indetectable (menor a 50 copias) se puede considerar no realizar PPE porque el riesgo de transmisión es muy bajo. De no ser posible la medición de la carga viral, se debe iniciar la P</w:t>
      </w:r>
      <w:r w:rsidR="0061327B" w:rsidRPr="002F0AC5">
        <w:rPr>
          <w:rFonts w:ascii="Arial" w:eastAsia="ArialMT" w:hAnsi="Arial" w:cs="Arial"/>
        </w:rPr>
        <w:t xml:space="preserve">rofilaxis </w:t>
      </w:r>
      <w:r w:rsidRPr="002F0AC5">
        <w:rPr>
          <w:rFonts w:ascii="Arial" w:eastAsia="ArialMT" w:hAnsi="Arial" w:cs="Arial"/>
        </w:rPr>
        <w:t>P</w:t>
      </w:r>
      <w:r w:rsidR="0061327B" w:rsidRPr="002F0AC5">
        <w:rPr>
          <w:rFonts w:ascii="Arial" w:eastAsia="ArialMT" w:hAnsi="Arial" w:cs="Arial"/>
        </w:rPr>
        <w:t xml:space="preserve">ost </w:t>
      </w:r>
      <w:r w:rsidRPr="002F0AC5">
        <w:rPr>
          <w:rFonts w:ascii="Arial" w:eastAsia="ArialMT" w:hAnsi="Arial" w:cs="Arial"/>
        </w:rPr>
        <w:t>E</w:t>
      </w:r>
      <w:r w:rsidR="0061327B" w:rsidRPr="002F0AC5">
        <w:rPr>
          <w:rFonts w:ascii="Arial" w:eastAsia="ArialMT" w:hAnsi="Arial" w:cs="Arial"/>
        </w:rPr>
        <w:t>xposición (PPE)</w:t>
      </w:r>
      <w:r w:rsidRPr="002F0AC5">
        <w:rPr>
          <w:rFonts w:ascii="Arial" w:eastAsia="ArialMT" w:hAnsi="Arial" w:cs="Arial"/>
        </w:rPr>
        <w:t>.</w:t>
      </w:r>
    </w:p>
    <w:p w14:paraId="5EC3F6F0" w14:textId="77777777" w:rsidR="003B5F68" w:rsidRPr="002F0AC5" w:rsidRDefault="005127C5" w:rsidP="005127C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lastRenderedPageBreak/>
        <w:t xml:space="preserve">• </w:t>
      </w:r>
      <w:proofErr w:type="spellStart"/>
      <w:r w:rsidRPr="002F0AC5">
        <w:rPr>
          <w:rFonts w:ascii="Arial" w:eastAsia="ArialMT" w:hAnsi="Arial" w:cs="Arial"/>
        </w:rPr>
        <w:t>ɸɸ</w:t>
      </w:r>
      <w:proofErr w:type="spellEnd"/>
      <w:r w:rsidRPr="002F0AC5">
        <w:rPr>
          <w:rFonts w:ascii="Arial" w:eastAsia="ArialMT" w:hAnsi="Arial" w:cs="Arial"/>
        </w:rPr>
        <w:t>: Valorar individualmente cada caso. En general recomendar PPE. Cuando la carga viral es indetectable se puede considerar no realizar PPE porque el riesgo de transmisión es muy bajo.</w:t>
      </w:r>
    </w:p>
    <w:p w14:paraId="707B98A9" w14:textId="660A9FC7" w:rsidR="003B5F68" w:rsidRPr="002F0AC5" w:rsidRDefault="00E2624B" w:rsidP="00532CAC">
      <w:pPr>
        <w:pStyle w:val="Ttulo1"/>
        <w:numPr>
          <w:ilvl w:val="0"/>
          <w:numId w:val="6"/>
        </w:numPr>
        <w:jc w:val="both"/>
      </w:pPr>
      <w:bookmarkStart w:id="7" w:name="_Toc32502167"/>
      <w:r w:rsidRPr="002F0AC5">
        <w:t>RECOMENDACIONES PARA DECIDIR INICIAR PROFILAXIS ANTE UNA</w:t>
      </w:r>
      <w:r w:rsidR="0061327B" w:rsidRPr="002F0AC5">
        <w:t xml:space="preserve"> </w:t>
      </w:r>
      <w:r w:rsidRPr="002F0AC5">
        <w:t>EXPOSICIÓN DE RIESGO BIOLÓGICO OCUPACIONAL (ERBO)</w:t>
      </w:r>
      <w:bookmarkEnd w:id="7"/>
    </w:p>
    <w:p w14:paraId="509C798A" w14:textId="77777777" w:rsidR="003B5F68" w:rsidRPr="002F0AC5" w:rsidRDefault="003B5F68" w:rsidP="00E2624B">
      <w:pPr>
        <w:autoSpaceDE w:val="0"/>
        <w:autoSpaceDN w:val="0"/>
        <w:adjustRightInd w:val="0"/>
        <w:spacing w:after="0" w:line="240" w:lineRule="auto"/>
        <w:jc w:val="both"/>
        <w:rPr>
          <w:rFonts w:ascii="Arial" w:eastAsia="ArialMT" w:hAnsi="Arial" w:cs="Arial"/>
        </w:rPr>
      </w:pPr>
    </w:p>
    <w:p w14:paraId="1DEF7D93" w14:textId="0DC3A4AC" w:rsidR="003B5F68" w:rsidRPr="002F0AC5" w:rsidRDefault="005127C5" w:rsidP="005127C5">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Es importante intentar conocer la situación serológica frente al VIH de la persona fuente, los resultados se han de conocer preferiblemente en las primeras 2 horas. </w:t>
      </w:r>
    </w:p>
    <w:p w14:paraId="07B12D19" w14:textId="77777777" w:rsidR="003B5F68" w:rsidRPr="002F0AC5" w:rsidRDefault="003B5F68" w:rsidP="005127C5">
      <w:pPr>
        <w:autoSpaceDE w:val="0"/>
        <w:autoSpaceDN w:val="0"/>
        <w:adjustRightInd w:val="0"/>
        <w:spacing w:after="0" w:line="240" w:lineRule="auto"/>
        <w:jc w:val="both"/>
        <w:rPr>
          <w:rFonts w:ascii="Arial" w:eastAsia="ArialMT" w:hAnsi="Arial" w:cs="Arial"/>
        </w:rPr>
      </w:pPr>
    </w:p>
    <w:p w14:paraId="331BD081" w14:textId="6F4379AA" w:rsidR="005127C5" w:rsidRPr="002F0AC5" w:rsidRDefault="005127C5" w:rsidP="005F1C50">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En caso de que la paciente fuente tenga infección por el VIH cono</w:t>
      </w:r>
      <w:r w:rsidR="005F1C50" w:rsidRPr="002F0AC5">
        <w:rPr>
          <w:rFonts w:ascii="Arial" w:eastAsia="ArialMT" w:hAnsi="Arial" w:cs="Arial"/>
        </w:rPr>
        <w:t xml:space="preserve">cida, es fundamental conocer la </w:t>
      </w:r>
      <w:r w:rsidRPr="002F0AC5">
        <w:rPr>
          <w:rFonts w:ascii="Arial" w:eastAsia="ArialMT" w:hAnsi="Arial" w:cs="Arial"/>
        </w:rPr>
        <w:t xml:space="preserve">carga viral, el esquema de </w:t>
      </w:r>
      <w:r w:rsidR="0061327B" w:rsidRPr="002F0AC5">
        <w:rPr>
          <w:rFonts w:ascii="Arial" w:eastAsia="ArialMT" w:hAnsi="Arial" w:cs="Arial"/>
        </w:rPr>
        <w:t>tratamiento antirretroviral (</w:t>
      </w:r>
      <w:r w:rsidRPr="002F0AC5">
        <w:rPr>
          <w:rFonts w:ascii="Arial" w:eastAsia="ArialMT" w:hAnsi="Arial" w:cs="Arial"/>
        </w:rPr>
        <w:t>TAR</w:t>
      </w:r>
      <w:r w:rsidR="0061327B" w:rsidRPr="002F0AC5">
        <w:rPr>
          <w:rFonts w:ascii="Arial" w:eastAsia="ArialMT" w:hAnsi="Arial" w:cs="Arial"/>
        </w:rPr>
        <w:t>)</w:t>
      </w:r>
      <w:r w:rsidRPr="002F0AC5">
        <w:rPr>
          <w:rFonts w:ascii="Arial" w:eastAsia="ArialMT" w:hAnsi="Arial" w:cs="Arial"/>
        </w:rPr>
        <w:t xml:space="preserve"> (si lo recibe), así como la historia farmacológica</w:t>
      </w:r>
      <w:r w:rsidR="005F1C50" w:rsidRPr="002F0AC5">
        <w:rPr>
          <w:rFonts w:ascii="Arial" w:eastAsia="ArialMT" w:hAnsi="Arial" w:cs="Arial"/>
        </w:rPr>
        <w:t xml:space="preserve"> y los motivos de </w:t>
      </w:r>
      <w:r w:rsidRPr="002F0AC5">
        <w:rPr>
          <w:rFonts w:ascii="Arial" w:eastAsia="ArialMT" w:hAnsi="Arial" w:cs="Arial"/>
        </w:rPr>
        <w:t>cambio de tratamiento (resistencias, intolerancia o toxicidad) del paciente</w:t>
      </w:r>
    </w:p>
    <w:p w14:paraId="4D1AB616" w14:textId="77777777" w:rsidR="003B5F68" w:rsidRPr="002F0AC5" w:rsidRDefault="003B5F68" w:rsidP="005E1D49">
      <w:pPr>
        <w:autoSpaceDE w:val="0"/>
        <w:autoSpaceDN w:val="0"/>
        <w:adjustRightInd w:val="0"/>
        <w:spacing w:after="0" w:line="240" w:lineRule="auto"/>
        <w:rPr>
          <w:rFonts w:ascii="Arial" w:eastAsia="ArialMT" w:hAnsi="Arial" w:cs="Arial"/>
        </w:rPr>
      </w:pPr>
    </w:p>
    <w:p w14:paraId="14C83FF0" w14:textId="6608EFFA" w:rsidR="003B5F68" w:rsidRPr="002F0AC5" w:rsidRDefault="005F1C50" w:rsidP="005F1C50">
      <w:pPr>
        <w:autoSpaceDE w:val="0"/>
        <w:autoSpaceDN w:val="0"/>
        <w:adjustRightInd w:val="0"/>
        <w:spacing w:after="0" w:line="240" w:lineRule="auto"/>
        <w:rPr>
          <w:rFonts w:ascii="Arial" w:eastAsia="ArialMT" w:hAnsi="Arial" w:cs="Arial"/>
          <w:i/>
          <w:iCs/>
        </w:rPr>
      </w:pPr>
      <w:r w:rsidRPr="002F0AC5">
        <w:rPr>
          <w:rFonts w:ascii="Arial" w:eastAsia="ArialMT" w:hAnsi="Arial" w:cs="Arial"/>
        </w:rPr>
        <w:t>Si no se puede conocer la situación serológica del paciente fuente, se considerará como de alto riesgo y se debe iniciar PPE</w:t>
      </w:r>
      <w:r w:rsidR="00490339" w:rsidRPr="002F0AC5">
        <w:rPr>
          <w:rFonts w:ascii="Arial" w:eastAsia="ArialMT" w:hAnsi="Arial" w:cs="Arial"/>
        </w:rPr>
        <w:t>.</w:t>
      </w:r>
    </w:p>
    <w:p w14:paraId="61499AC6" w14:textId="77777777" w:rsidR="005F1C50" w:rsidRPr="002F0AC5" w:rsidRDefault="005F1C50" w:rsidP="005F1C50">
      <w:pPr>
        <w:autoSpaceDE w:val="0"/>
        <w:autoSpaceDN w:val="0"/>
        <w:adjustRightInd w:val="0"/>
        <w:spacing w:after="0" w:line="240" w:lineRule="auto"/>
        <w:rPr>
          <w:rFonts w:ascii="Arial" w:eastAsia="ArialMT" w:hAnsi="Arial" w:cs="Arial"/>
          <w:i/>
          <w:iCs/>
        </w:rPr>
      </w:pPr>
    </w:p>
    <w:p w14:paraId="5FC38DCC" w14:textId="16D7200D" w:rsidR="005F1C50" w:rsidRPr="002F0AC5" w:rsidRDefault="005F1C50" w:rsidP="005F1C50">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La PPE ha de iniciarse lo antes posible tras la ERBO al VIH, preferiblemente en las primeras 24 horas, y siempre dentro de las primeras 72 horas. </w:t>
      </w:r>
    </w:p>
    <w:p w14:paraId="6C23AC37" w14:textId="77777777" w:rsidR="003B5F68" w:rsidRPr="002F0AC5" w:rsidRDefault="003B5F68" w:rsidP="005E1D49">
      <w:pPr>
        <w:autoSpaceDE w:val="0"/>
        <w:autoSpaceDN w:val="0"/>
        <w:adjustRightInd w:val="0"/>
        <w:spacing w:after="0" w:line="240" w:lineRule="auto"/>
        <w:rPr>
          <w:rFonts w:ascii="Arial" w:eastAsia="ArialMT" w:hAnsi="Arial" w:cs="Arial"/>
        </w:rPr>
      </w:pPr>
    </w:p>
    <w:p w14:paraId="27939623" w14:textId="4358A7DC" w:rsidR="005F1C50" w:rsidRPr="002F0AC5" w:rsidRDefault="005F1C50" w:rsidP="005F1C50">
      <w:pPr>
        <w:autoSpaceDE w:val="0"/>
        <w:autoSpaceDN w:val="0"/>
        <w:adjustRightInd w:val="0"/>
        <w:spacing w:after="0" w:line="240" w:lineRule="auto"/>
        <w:jc w:val="both"/>
        <w:rPr>
          <w:rFonts w:ascii="Arial" w:eastAsia="ArialMT" w:hAnsi="Arial" w:cs="Arial"/>
          <w:i/>
          <w:iCs/>
        </w:rPr>
      </w:pPr>
      <w:r w:rsidRPr="002F0AC5">
        <w:rPr>
          <w:rFonts w:ascii="Arial" w:eastAsia="ArialMT" w:hAnsi="Arial" w:cs="Arial"/>
        </w:rPr>
        <w:t xml:space="preserve">En las ERBO percutáneas a sangre con riesgo alto y muy alto se recomienda realizar PPE. </w:t>
      </w:r>
    </w:p>
    <w:p w14:paraId="63F38FE2" w14:textId="77777777" w:rsidR="005F1C50" w:rsidRPr="002F0AC5" w:rsidRDefault="005F1C50" w:rsidP="005F1C50">
      <w:pPr>
        <w:autoSpaceDE w:val="0"/>
        <w:autoSpaceDN w:val="0"/>
        <w:adjustRightInd w:val="0"/>
        <w:spacing w:after="0" w:line="240" w:lineRule="auto"/>
        <w:jc w:val="both"/>
        <w:rPr>
          <w:rFonts w:ascii="Arial" w:eastAsia="ArialMT" w:hAnsi="Arial" w:cs="Arial"/>
          <w:iCs/>
        </w:rPr>
      </w:pPr>
    </w:p>
    <w:p w14:paraId="11E3C2C5" w14:textId="77777777" w:rsidR="005F1C50" w:rsidRPr="002F0AC5" w:rsidRDefault="005F1C50" w:rsidP="005F1C50">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En las ERBO percutáneas a sangre con menor riesgo o a otros fluidos corporales potencialmente infectantes se recomienda realizar PPE, aunque, si la carga viral de la fuente es indetectable se puede considerar no realizarla. </w:t>
      </w:r>
      <w:r w:rsidRPr="002F0AC5">
        <w:rPr>
          <w:rFonts w:ascii="Arial" w:eastAsia="ArialMT" w:hAnsi="Arial" w:cs="Arial"/>
          <w:i/>
          <w:iCs/>
        </w:rPr>
        <w:t>Recomendación fuerte a favor, calidad de la evidencia baja.</w:t>
      </w:r>
    </w:p>
    <w:p w14:paraId="69B3C818" w14:textId="77777777" w:rsidR="005F1C50" w:rsidRPr="002F0AC5" w:rsidRDefault="005F1C50" w:rsidP="005F1C50">
      <w:pPr>
        <w:autoSpaceDE w:val="0"/>
        <w:autoSpaceDN w:val="0"/>
        <w:adjustRightInd w:val="0"/>
        <w:spacing w:after="0" w:line="240" w:lineRule="auto"/>
        <w:jc w:val="both"/>
        <w:rPr>
          <w:rFonts w:ascii="Arial" w:eastAsia="ArialMT" w:hAnsi="Arial" w:cs="Arial"/>
          <w:iCs/>
        </w:rPr>
      </w:pPr>
    </w:p>
    <w:p w14:paraId="31103A54" w14:textId="77777777" w:rsidR="005F1C50" w:rsidRPr="002F0AC5" w:rsidRDefault="005F1C50" w:rsidP="005F1C50">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En las ERBO con mucosas o con piel de alto riesgo a sangre y a otros fluidos corporales</w:t>
      </w:r>
    </w:p>
    <w:p w14:paraId="7F655BCA" w14:textId="26701BEE" w:rsidR="005F1C50" w:rsidRPr="002F0AC5" w:rsidRDefault="005F1C50" w:rsidP="005F1C50">
      <w:pPr>
        <w:autoSpaceDE w:val="0"/>
        <w:autoSpaceDN w:val="0"/>
        <w:adjustRightInd w:val="0"/>
        <w:spacing w:after="0" w:line="240" w:lineRule="auto"/>
        <w:jc w:val="both"/>
        <w:rPr>
          <w:rFonts w:ascii="Arial" w:eastAsia="ArialMT" w:hAnsi="Arial" w:cs="Arial"/>
          <w:i/>
          <w:iCs/>
        </w:rPr>
      </w:pPr>
      <w:r w:rsidRPr="002F0AC5">
        <w:rPr>
          <w:rFonts w:ascii="Arial" w:eastAsia="ArialMT" w:hAnsi="Arial" w:cs="Arial"/>
        </w:rPr>
        <w:t xml:space="preserve">potencialmente infectantes se recomienda realizar PPE, aunque, si la carga viral de la fuente es indetectable se puede considerar no realizarla. </w:t>
      </w:r>
    </w:p>
    <w:p w14:paraId="35EC4212" w14:textId="77777777" w:rsidR="00490339" w:rsidRPr="002F0AC5" w:rsidRDefault="00490339" w:rsidP="005F1C50">
      <w:pPr>
        <w:autoSpaceDE w:val="0"/>
        <w:autoSpaceDN w:val="0"/>
        <w:adjustRightInd w:val="0"/>
        <w:spacing w:after="0" w:line="240" w:lineRule="auto"/>
        <w:jc w:val="both"/>
        <w:rPr>
          <w:rFonts w:ascii="Arial" w:eastAsia="ArialMT" w:hAnsi="Arial" w:cs="Arial"/>
          <w:iCs/>
        </w:rPr>
      </w:pPr>
    </w:p>
    <w:p w14:paraId="24EE3AE6" w14:textId="6E693283" w:rsidR="005F1C50" w:rsidRPr="002F0AC5" w:rsidRDefault="00867F61" w:rsidP="005F1C50">
      <w:pPr>
        <w:autoSpaceDE w:val="0"/>
        <w:autoSpaceDN w:val="0"/>
        <w:adjustRightInd w:val="0"/>
        <w:spacing w:after="0" w:line="240" w:lineRule="auto"/>
        <w:jc w:val="both"/>
        <w:rPr>
          <w:rFonts w:ascii="Arial" w:eastAsia="ArialMT" w:hAnsi="Arial" w:cs="Arial"/>
          <w:iCs/>
        </w:rPr>
      </w:pPr>
      <w:r w:rsidRPr="002F0AC5">
        <w:rPr>
          <w:rFonts w:ascii="Arial" w:eastAsia="ArialMT" w:hAnsi="Arial" w:cs="Arial"/>
        </w:rPr>
        <w:t xml:space="preserve">En las ERBO a fluidos corporales no infectantes no se recomienda realizar PPE. </w:t>
      </w:r>
    </w:p>
    <w:p w14:paraId="62565FCC" w14:textId="77777777" w:rsidR="00867F61" w:rsidRPr="002F0AC5" w:rsidRDefault="00867F61" w:rsidP="005F1C50">
      <w:pPr>
        <w:autoSpaceDE w:val="0"/>
        <w:autoSpaceDN w:val="0"/>
        <w:adjustRightInd w:val="0"/>
        <w:spacing w:after="0" w:line="240" w:lineRule="auto"/>
        <w:jc w:val="both"/>
        <w:rPr>
          <w:rFonts w:ascii="Arial" w:eastAsia="ArialMT" w:hAnsi="Arial" w:cs="Arial"/>
          <w:iCs/>
        </w:rPr>
      </w:pPr>
    </w:p>
    <w:p w14:paraId="26A5F193" w14:textId="5DBF9D60" w:rsidR="00867F61" w:rsidRPr="002F0AC5" w:rsidRDefault="00867F61" w:rsidP="00867F61">
      <w:pPr>
        <w:autoSpaceDE w:val="0"/>
        <w:autoSpaceDN w:val="0"/>
        <w:adjustRightInd w:val="0"/>
        <w:spacing w:after="0" w:line="240" w:lineRule="auto"/>
        <w:jc w:val="both"/>
        <w:rPr>
          <w:rFonts w:ascii="Arial" w:eastAsia="ArialMT" w:hAnsi="Arial" w:cs="Arial"/>
          <w:b/>
          <w:bCs/>
        </w:rPr>
      </w:pPr>
      <w:r w:rsidRPr="002F0AC5">
        <w:rPr>
          <w:rFonts w:ascii="Arial" w:eastAsia="ArialMT" w:hAnsi="Arial" w:cs="Arial"/>
        </w:rPr>
        <w:t xml:space="preserve">La PPE para VIH debe interrumpirse </w:t>
      </w:r>
      <w:r w:rsidRPr="002F0AC5">
        <w:rPr>
          <w:rFonts w:ascii="Arial" w:eastAsia="ArialMT" w:hAnsi="Arial" w:cs="Arial"/>
          <w:b/>
          <w:bCs/>
        </w:rPr>
        <w:t>si se confirma según los algoritmos diagnósticos vigentes que</w:t>
      </w:r>
      <w:r w:rsidRPr="002F0AC5">
        <w:rPr>
          <w:rFonts w:ascii="Arial" w:eastAsia="ArialMT" w:hAnsi="Arial" w:cs="Arial"/>
        </w:rPr>
        <w:t xml:space="preserve"> </w:t>
      </w:r>
      <w:r w:rsidR="00490339" w:rsidRPr="002F0AC5">
        <w:rPr>
          <w:rFonts w:ascii="Arial" w:eastAsia="ArialMT" w:hAnsi="Arial" w:cs="Arial"/>
        </w:rPr>
        <w:t>la paciente fuente</w:t>
      </w:r>
      <w:r w:rsidRPr="002F0AC5">
        <w:rPr>
          <w:rFonts w:ascii="Arial" w:eastAsia="ArialMT" w:hAnsi="Arial" w:cs="Arial"/>
        </w:rPr>
        <w:t xml:space="preserve"> es VIH negativo. </w:t>
      </w:r>
    </w:p>
    <w:p w14:paraId="03D0B572" w14:textId="4B998087" w:rsidR="00872BF4" w:rsidRPr="002F0AC5" w:rsidRDefault="00E2624B" w:rsidP="00532CAC">
      <w:pPr>
        <w:pStyle w:val="Ttulo2"/>
        <w:numPr>
          <w:ilvl w:val="1"/>
          <w:numId w:val="6"/>
        </w:numPr>
        <w:spacing w:after="240"/>
        <w:jc w:val="both"/>
      </w:pPr>
      <w:bookmarkStart w:id="8" w:name="_Toc32502168"/>
      <w:r w:rsidRPr="002F0AC5">
        <w:t>RECOMENDACIONES GENERALES ANTE UNA EXPOSICIÓN DE RIESGO BIOLÓGICO</w:t>
      </w:r>
      <w:bookmarkEnd w:id="8"/>
    </w:p>
    <w:p w14:paraId="0299C5B3" w14:textId="2ACAD59B" w:rsidR="00872BF4"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color w:val="000000"/>
        </w:rPr>
        <w:t xml:space="preserve">Las personas que sufren una exposición accidental deben ser evaluadas lo antes posible para valorar si está indicada la Profilaxis </w:t>
      </w:r>
      <w:proofErr w:type="spellStart"/>
      <w:r w:rsidRPr="00FB4616">
        <w:rPr>
          <w:rFonts w:ascii="Arial" w:eastAsia="ArialMT" w:hAnsi="Arial" w:cs="Arial"/>
          <w:color w:val="000000"/>
        </w:rPr>
        <w:t>post-exposición-PPE</w:t>
      </w:r>
      <w:proofErr w:type="spellEnd"/>
      <w:r w:rsidRPr="00FB4616">
        <w:rPr>
          <w:rFonts w:ascii="Arial" w:eastAsia="ArialMT" w:hAnsi="Arial" w:cs="Arial"/>
          <w:color w:val="000000"/>
        </w:rPr>
        <w:t xml:space="preserve">. </w:t>
      </w:r>
    </w:p>
    <w:p w14:paraId="0077FF12" w14:textId="59E4C612" w:rsidR="00872BF4" w:rsidRPr="00FB4616" w:rsidRDefault="00872BF4" w:rsidP="00532CAC">
      <w:pPr>
        <w:pStyle w:val="Prrafodelista"/>
        <w:numPr>
          <w:ilvl w:val="0"/>
          <w:numId w:val="7"/>
        </w:numPr>
        <w:autoSpaceDE w:val="0"/>
        <w:autoSpaceDN w:val="0"/>
        <w:adjustRightInd w:val="0"/>
        <w:spacing w:after="0" w:line="240" w:lineRule="auto"/>
        <w:jc w:val="both"/>
        <w:rPr>
          <w:rFonts w:ascii="Arial" w:eastAsia="ArialMT" w:hAnsi="Arial" w:cs="Arial"/>
          <w:color w:val="000000"/>
        </w:rPr>
      </w:pPr>
      <w:r w:rsidRPr="00FB4616">
        <w:rPr>
          <w:rFonts w:ascii="Arial" w:eastAsia="ArialMT" w:hAnsi="Arial" w:cs="Arial"/>
          <w:color w:val="000000"/>
        </w:rPr>
        <w:lastRenderedPageBreak/>
        <w:t xml:space="preserve">Tras la exposición accidental, las heridas y la piel expuesta deben ser lavadas con agua y jabón. Por otra parte, tras un pinchazo accidental, nunca </w:t>
      </w:r>
      <w:r w:rsidR="001376B9" w:rsidRPr="00FB4616">
        <w:rPr>
          <w:rFonts w:ascii="Arial" w:eastAsia="ArialMT" w:hAnsi="Arial" w:cs="Arial"/>
          <w:color w:val="000000"/>
        </w:rPr>
        <w:t>debe exprimirse</w:t>
      </w:r>
      <w:r w:rsidRPr="00FB4616">
        <w:rPr>
          <w:rFonts w:ascii="Arial" w:eastAsia="ArialMT" w:hAnsi="Arial" w:cs="Arial"/>
          <w:color w:val="000000"/>
        </w:rPr>
        <w:t xml:space="preserve"> la zona del pinchazo</w:t>
      </w:r>
    </w:p>
    <w:p w14:paraId="63E39ABF"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color w:val="000000"/>
        </w:rPr>
        <w:t xml:space="preserve">Cuando se produce una exposición al VIH, con independencia de si se realiza o no PPE, todos los procedimientos e intervenciones deben estar claramente recogidos en la historia clínica. </w:t>
      </w:r>
    </w:p>
    <w:p w14:paraId="23C64CD8"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color w:val="000000"/>
        </w:rPr>
        <w:t xml:space="preserve">Se recomienda iniciar PPE lo antes posible tras la exposición, preferiblemente en las primeras 24 horas y en el caso de las ITS y el VIH, no más tarde de las 72 horas. </w:t>
      </w:r>
    </w:p>
    <w:p w14:paraId="7118A63A"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color w:val="000000"/>
        </w:rPr>
        <w:t xml:space="preserve">Se recomienda realizar PPE en las exposiciones con </w:t>
      </w:r>
      <w:r w:rsidR="00A77451" w:rsidRPr="00FB4616">
        <w:rPr>
          <w:rFonts w:ascii="Arial" w:eastAsia="ArialMT" w:hAnsi="Arial" w:cs="Arial"/>
          <w:color w:val="000000"/>
        </w:rPr>
        <w:t xml:space="preserve">riesgo apreciable </w:t>
      </w:r>
    </w:p>
    <w:p w14:paraId="3443F454"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color w:val="000000"/>
        </w:rPr>
        <w:t xml:space="preserve">Se recomienda valorar individualmente la necesidad de PPE en las exposiciones con riesgo bajo </w:t>
      </w:r>
      <w:r w:rsidRPr="00FB4616">
        <w:rPr>
          <w:rFonts w:ascii="Arial" w:eastAsia="ArialMT" w:hAnsi="Arial" w:cs="Arial"/>
        </w:rPr>
        <w:t xml:space="preserve">mínimo. </w:t>
      </w:r>
    </w:p>
    <w:p w14:paraId="65E0F5FC"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rPr>
        <w:t xml:space="preserve">En general, se recomienda iniciar PPE si la fuente es positiva para el VIH, con carga viral detectable o desconocida, o si es VIH desconocido con factores de riesgo. </w:t>
      </w:r>
    </w:p>
    <w:p w14:paraId="67043503"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rPr>
        <w:t>Si la fuente es positiva para el VIH, con carga viral indetectable o si es VIH desconocido sin factores de riesgo, se puede considerar no realizar PPE dado que el riesgo de transmisión es muy bajo.</w:t>
      </w:r>
      <w:r w:rsidRPr="00FB4616">
        <w:rPr>
          <w:rFonts w:ascii="Arial" w:eastAsia="ArialMT" w:hAnsi="Arial" w:cs="Arial"/>
          <w:i/>
          <w:iCs/>
        </w:rPr>
        <w:t xml:space="preserve"> </w:t>
      </w:r>
    </w:p>
    <w:p w14:paraId="21D8071D"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i/>
          <w:iCs/>
        </w:rPr>
        <w:t xml:space="preserve"> </w:t>
      </w:r>
      <w:r w:rsidRPr="00FB4616">
        <w:rPr>
          <w:rFonts w:ascii="Arial" w:eastAsia="ArialMT" w:hAnsi="Arial" w:cs="Arial"/>
        </w:rPr>
        <w:t>No se recomienda realizar PPE en las exposiciones con riesgo nul</w:t>
      </w:r>
      <w:r w:rsidR="00A77451" w:rsidRPr="00FB4616">
        <w:rPr>
          <w:rFonts w:ascii="Arial" w:eastAsia="ArialMT" w:hAnsi="Arial" w:cs="Arial"/>
        </w:rPr>
        <w:t>o o despreciable</w:t>
      </w:r>
      <w:r w:rsidRPr="00FB4616">
        <w:rPr>
          <w:rFonts w:ascii="Arial" w:eastAsia="ArialMT" w:hAnsi="Arial" w:cs="Arial"/>
        </w:rPr>
        <w:t xml:space="preserve">. </w:t>
      </w:r>
    </w:p>
    <w:p w14:paraId="5D5D94F7"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rPr>
        <w:t xml:space="preserve">La PPE debe interrumpirse si se confirma según los algoritmos diagnósticos vigentes, que la persona fuente es negativa para el VIH. </w:t>
      </w:r>
    </w:p>
    <w:p w14:paraId="0E24D898"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rPr>
        <w:t>En el caso de exposiciones a fluidos potencialmente infectantes por</w:t>
      </w:r>
      <w:r w:rsidR="004F7B4C" w:rsidRPr="00FB4616">
        <w:rPr>
          <w:rFonts w:ascii="Arial" w:eastAsia="ArialMT" w:hAnsi="Arial" w:cs="Arial"/>
        </w:rPr>
        <w:t xml:space="preserve"> mecanismos diferentes a la vía </w:t>
      </w:r>
      <w:r w:rsidRPr="00FB4616">
        <w:rPr>
          <w:rFonts w:ascii="Arial" w:eastAsia="ArialMT" w:hAnsi="Arial" w:cs="Arial"/>
        </w:rPr>
        <w:t xml:space="preserve">sexual, el sitio corporal donde </w:t>
      </w:r>
      <w:r w:rsidR="004F7B4C" w:rsidRPr="00FB4616">
        <w:rPr>
          <w:rFonts w:ascii="Arial" w:eastAsia="ArialMT" w:hAnsi="Arial" w:cs="Arial"/>
        </w:rPr>
        <w:t>ocurrió</w:t>
      </w:r>
      <w:r w:rsidRPr="00FB4616">
        <w:rPr>
          <w:rFonts w:ascii="Arial" w:eastAsia="ArialMT" w:hAnsi="Arial" w:cs="Arial"/>
        </w:rPr>
        <w:t xml:space="preserve"> la </w:t>
      </w:r>
      <w:r w:rsidR="004F7B4C" w:rsidRPr="00FB4616">
        <w:rPr>
          <w:rFonts w:ascii="Arial" w:eastAsia="ArialMT" w:hAnsi="Arial" w:cs="Arial"/>
        </w:rPr>
        <w:t>exposición</w:t>
      </w:r>
      <w:r w:rsidRPr="00FB4616">
        <w:rPr>
          <w:rFonts w:ascii="Arial" w:eastAsia="ArialMT" w:hAnsi="Arial" w:cs="Arial"/>
        </w:rPr>
        <w:t xml:space="preserve"> debe ser lavado </w:t>
      </w:r>
      <w:r w:rsidR="004F7B4C" w:rsidRPr="00FB4616">
        <w:rPr>
          <w:rFonts w:ascii="Arial" w:eastAsia="ArialMT" w:hAnsi="Arial" w:cs="Arial"/>
        </w:rPr>
        <w:t xml:space="preserve">con agua y jabón, en el caso de </w:t>
      </w:r>
      <w:r w:rsidRPr="00FB4616">
        <w:rPr>
          <w:rFonts w:ascii="Arial" w:eastAsia="ArialMT" w:hAnsi="Arial" w:cs="Arial"/>
        </w:rPr>
        <w:t xml:space="preserve">piel y con agua en </w:t>
      </w:r>
      <w:r w:rsidR="004F7B4C" w:rsidRPr="00FB4616">
        <w:rPr>
          <w:rFonts w:ascii="Arial" w:eastAsia="ArialMT" w:hAnsi="Arial" w:cs="Arial"/>
        </w:rPr>
        <w:t>irrigación</w:t>
      </w:r>
      <w:r w:rsidRPr="00FB4616">
        <w:rPr>
          <w:rFonts w:ascii="Arial" w:eastAsia="ArialMT" w:hAnsi="Arial" w:cs="Arial"/>
        </w:rPr>
        <w:t xml:space="preserve"> en el caso de mucosas (IIIA). No existe </w:t>
      </w:r>
      <w:r w:rsidR="004F7B4C" w:rsidRPr="00FB4616">
        <w:rPr>
          <w:rFonts w:ascii="Arial" w:eastAsia="ArialMT" w:hAnsi="Arial" w:cs="Arial"/>
        </w:rPr>
        <w:t>evidencia que soporte el uso de antisépticos,</w:t>
      </w:r>
      <w:r w:rsidRPr="00FB4616">
        <w:rPr>
          <w:rFonts w:ascii="Arial" w:eastAsia="ArialMT" w:hAnsi="Arial" w:cs="Arial"/>
        </w:rPr>
        <w:t xml:space="preserve"> pero tampoco </w:t>
      </w:r>
      <w:r w:rsidR="004F7B4C" w:rsidRPr="00FB4616">
        <w:rPr>
          <w:rFonts w:ascii="Arial" w:eastAsia="ArialMT" w:hAnsi="Arial" w:cs="Arial"/>
        </w:rPr>
        <w:t>están</w:t>
      </w:r>
      <w:r w:rsidRPr="00FB4616">
        <w:rPr>
          <w:rFonts w:ascii="Arial" w:eastAsia="ArialMT" w:hAnsi="Arial" w:cs="Arial"/>
        </w:rPr>
        <w:t xml:space="preserve"> contraindicados. No se recomienda el uso de corrosivos o </w:t>
      </w:r>
      <w:r w:rsidR="004F7B4C" w:rsidRPr="00FB4616">
        <w:rPr>
          <w:rFonts w:ascii="Arial" w:eastAsia="ArialMT" w:hAnsi="Arial" w:cs="Arial"/>
        </w:rPr>
        <w:t>cáusticos</w:t>
      </w:r>
      <w:r w:rsidRPr="00FB4616">
        <w:rPr>
          <w:rFonts w:ascii="Arial" w:eastAsia="ArialMT" w:hAnsi="Arial" w:cs="Arial"/>
        </w:rPr>
        <w:t>.</w:t>
      </w:r>
    </w:p>
    <w:p w14:paraId="56D67043"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rPr>
        <w:t xml:space="preserve">Una vez ocurrida la </w:t>
      </w:r>
      <w:r w:rsidR="004F7B4C" w:rsidRPr="00FB4616">
        <w:rPr>
          <w:rFonts w:ascii="Arial" w:eastAsia="ArialMT" w:hAnsi="Arial" w:cs="Arial"/>
        </w:rPr>
        <w:t>exposición</w:t>
      </w:r>
      <w:r w:rsidRPr="00FB4616">
        <w:rPr>
          <w:rFonts w:ascii="Arial" w:eastAsia="ArialMT" w:hAnsi="Arial" w:cs="Arial"/>
        </w:rPr>
        <w:t>, la persona expuesta debe acudir al servicio de urgencias de</w:t>
      </w:r>
      <w:r w:rsidR="004F7B4C" w:rsidRPr="00FB4616">
        <w:rPr>
          <w:rFonts w:ascii="Arial" w:eastAsia="ArialMT" w:hAnsi="Arial" w:cs="Arial"/>
        </w:rPr>
        <w:t xml:space="preserve"> </w:t>
      </w:r>
      <w:r w:rsidRPr="00FB4616">
        <w:rPr>
          <w:rFonts w:ascii="Arial" w:eastAsia="ArialMT" w:hAnsi="Arial" w:cs="Arial"/>
        </w:rPr>
        <w:t xml:space="preserve">inmediato. Se debe llenar un reporte en el Formato </w:t>
      </w:r>
      <w:r w:rsidR="004F7B4C" w:rsidRPr="00FB4616">
        <w:rPr>
          <w:rFonts w:ascii="Arial" w:eastAsia="ArialMT" w:hAnsi="Arial" w:cs="Arial"/>
        </w:rPr>
        <w:t>Único</w:t>
      </w:r>
      <w:r w:rsidRPr="00FB4616">
        <w:rPr>
          <w:rFonts w:ascii="Arial" w:eastAsia="ArialMT" w:hAnsi="Arial" w:cs="Arial"/>
        </w:rPr>
        <w:t xml:space="preserve"> de Reporte</w:t>
      </w:r>
      <w:r w:rsidR="004F7B4C" w:rsidRPr="00FB4616">
        <w:rPr>
          <w:rFonts w:ascii="Arial" w:eastAsia="ArialMT" w:hAnsi="Arial" w:cs="Arial"/>
        </w:rPr>
        <w:t xml:space="preserve"> de Accidente del Trabajo-FURAT</w:t>
      </w:r>
      <w:r w:rsidRPr="00FB4616">
        <w:rPr>
          <w:rFonts w:ascii="Arial" w:eastAsia="ArialMT" w:hAnsi="Arial" w:cs="Arial"/>
        </w:rPr>
        <w:t xml:space="preserve">– para el caso de exposiciones de riesgo </w:t>
      </w:r>
      <w:r w:rsidR="004F7B4C" w:rsidRPr="00FB4616">
        <w:rPr>
          <w:rFonts w:ascii="Arial" w:eastAsia="ArialMT" w:hAnsi="Arial" w:cs="Arial"/>
        </w:rPr>
        <w:t>biológico</w:t>
      </w:r>
      <w:r w:rsidRPr="00FB4616">
        <w:rPr>
          <w:rFonts w:ascii="Arial" w:eastAsia="ArialMT" w:hAnsi="Arial" w:cs="Arial"/>
        </w:rPr>
        <w:t xml:space="preserve"> laborales.</w:t>
      </w:r>
    </w:p>
    <w:p w14:paraId="360E8DEA" w14:textId="77777777" w:rsidR="00FB4616"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rPr>
        <w:t xml:space="preserve">Todo el proceso de </w:t>
      </w:r>
      <w:r w:rsidR="00A77451" w:rsidRPr="00FB4616">
        <w:rPr>
          <w:rFonts w:ascii="Arial" w:eastAsia="ArialMT" w:hAnsi="Arial" w:cs="Arial"/>
        </w:rPr>
        <w:t>evaluación</w:t>
      </w:r>
      <w:r w:rsidRPr="00FB4616">
        <w:rPr>
          <w:rFonts w:ascii="Arial" w:eastAsia="ArialMT" w:hAnsi="Arial" w:cs="Arial"/>
        </w:rPr>
        <w:t xml:space="preserve"> y toma de decisiones debe hacerse en las horas</w:t>
      </w:r>
      <w:r w:rsidR="00A77451" w:rsidRPr="00FB4616">
        <w:rPr>
          <w:rFonts w:ascii="Arial" w:eastAsia="ArialMT" w:hAnsi="Arial" w:cs="Arial"/>
        </w:rPr>
        <w:t xml:space="preserve"> </w:t>
      </w:r>
      <w:r w:rsidRPr="00FB4616">
        <w:rPr>
          <w:rFonts w:ascii="Arial" w:eastAsia="ArialMT" w:hAnsi="Arial" w:cs="Arial"/>
        </w:rPr>
        <w:t xml:space="preserve">inmediatamente siguientes a la </w:t>
      </w:r>
      <w:r w:rsidR="00A77451" w:rsidRPr="00FB4616">
        <w:rPr>
          <w:rFonts w:ascii="Arial" w:eastAsia="ArialMT" w:hAnsi="Arial" w:cs="Arial"/>
        </w:rPr>
        <w:t>exposición</w:t>
      </w:r>
      <w:r w:rsidRPr="00FB4616">
        <w:rPr>
          <w:rFonts w:ascii="Arial" w:eastAsia="ArialMT" w:hAnsi="Arial" w:cs="Arial"/>
        </w:rPr>
        <w:t xml:space="preserve"> (IIA). La </w:t>
      </w:r>
      <w:r w:rsidR="00A77451" w:rsidRPr="00FB4616">
        <w:rPr>
          <w:rFonts w:ascii="Arial" w:eastAsia="ArialMT" w:hAnsi="Arial" w:cs="Arial"/>
        </w:rPr>
        <w:t>evaluación</w:t>
      </w:r>
      <w:r w:rsidRPr="00FB4616">
        <w:rPr>
          <w:rFonts w:ascii="Arial" w:eastAsia="ArialMT" w:hAnsi="Arial" w:cs="Arial"/>
        </w:rPr>
        <w:t xml:space="preserve"> de</w:t>
      </w:r>
      <w:r w:rsidR="00A77451" w:rsidRPr="00FB4616">
        <w:rPr>
          <w:rFonts w:ascii="Arial" w:eastAsia="ArialMT" w:hAnsi="Arial" w:cs="Arial"/>
        </w:rPr>
        <w:t>be considerar posible riesgo de transmisión</w:t>
      </w:r>
      <w:r w:rsidRPr="00FB4616">
        <w:rPr>
          <w:rFonts w:ascii="Arial" w:eastAsia="ArialMT" w:hAnsi="Arial" w:cs="Arial"/>
        </w:rPr>
        <w:t xml:space="preserve"> de otros </w:t>
      </w:r>
      <w:r w:rsidR="00A77451" w:rsidRPr="00FB4616">
        <w:rPr>
          <w:rFonts w:ascii="Arial" w:eastAsia="ArialMT" w:hAnsi="Arial" w:cs="Arial"/>
        </w:rPr>
        <w:t>patógenos</w:t>
      </w:r>
      <w:r w:rsidRPr="00FB4616">
        <w:rPr>
          <w:rFonts w:ascii="Arial" w:eastAsia="ArialMT" w:hAnsi="Arial" w:cs="Arial"/>
        </w:rPr>
        <w:t xml:space="preserve"> (</w:t>
      </w:r>
      <w:r w:rsidR="00A77451" w:rsidRPr="00FB4616">
        <w:rPr>
          <w:rFonts w:ascii="Arial" w:eastAsia="ArialMT" w:hAnsi="Arial" w:cs="Arial"/>
        </w:rPr>
        <w:t>sífilis</w:t>
      </w:r>
      <w:r w:rsidRPr="00FB4616">
        <w:rPr>
          <w:rFonts w:ascii="Arial" w:eastAsia="ArialMT" w:hAnsi="Arial" w:cs="Arial"/>
        </w:rPr>
        <w:t>, hepatitis B, hepatitis C) (IIA).</w:t>
      </w:r>
    </w:p>
    <w:p w14:paraId="22151CA5" w14:textId="18A7FA9C" w:rsidR="00872BF4" w:rsidRPr="00FB4616" w:rsidRDefault="00872BF4" w:rsidP="00532CAC">
      <w:pPr>
        <w:pStyle w:val="Prrafodelista"/>
        <w:numPr>
          <w:ilvl w:val="0"/>
          <w:numId w:val="7"/>
        </w:numPr>
        <w:autoSpaceDE w:val="0"/>
        <w:autoSpaceDN w:val="0"/>
        <w:adjustRightInd w:val="0"/>
        <w:spacing w:after="0" w:line="240" w:lineRule="auto"/>
        <w:jc w:val="both"/>
        <w:rPr>
          <w:rFonts w:ascii="Arial" w:hAnsi="Arial" w:cs="Arial"/>
          <w:i/>
          <w:iCs/>
          <w:color w:val="000000"/>
        </w:rPr>
      </w:pPr>
      <w:r w:rsidRPr="00FB4616">
        <w:rPr>
          <w:rFonts w:ascii="Arial" w:eastAsia="ArialMT" w:hAnsi="Arial" w:cs="Arial"/>
        </w:rPr>
        <w:t xml:space="preserve">Se debe recomendar a la persona expuesta, </w:t>
      </w:r>
      <w:r w:rsidR="00A77451" w:rsidRPr="00FB4616">
        <w:rPr>
          <w:rFonts w:ascii="Arial" w:eastAsia="ArialMT" w:hAnsi="Arial" w:cs="Arial"/>
        </w:rPr>
        <w:t>prácticas</w:t>
      </w:r>
      <w:r w:rsidRPr="00FB4616">
        <w:rPr>
          <w:rFonts w:ascii="Arial" w:eastAsia="ArialMT" w:hAnsi="Arial" w:cs="Arial"/>
        </w:rPr>
        <w:t xml:space="preserve"> que permitan ev</w:t>
      </w:r>
      <w:r w:rsidR="00A77451" w:rsidRPr="00FB4616">
        <w:rPr>
          <w:rFonts w:ascii="Arial" w:eastAsia="ArialMT" w:hAnsi="Arial" w:cs="Arial"/>
        </w:rPr>
        <w:t xml:space="preserve">itar la posible transmisión del </w:t>
      </w:r>
      <w:r w:rsidRPr="00FB4616">
        <w:rPr>
          <w:rFonts w:ascii="Arial" w:eastAsia="ArialMT" w:hAnsi="Arial" w:cs="Arial"/>
        </w:rPr>
        <w:t xml:space="preserve">VIH a terceros durante el periodo de seguimiento, mediante la </w:t>
      </w:r>
      <w:r w:rsidR="00A77451" w:rsidRPr="00FB4616">
        <w:rPr>
          <w:rFonts w:ascii="Arial" w:eastAsia="ArialMT" w:hAnsi="Arial" w:cs="Arial"/>
        </w:rPr>
        <w:t>utilización</w:t>
      </w:r>
      <w:r w:rsidRPr="00FB4616">
        <w:rPr>
          <w:rFonts w:ascii="Arial" w:eastAsia="ArialMT" w:hAnsi="Arial" w:cs="Arial"/>
        </w:rPr>
        <w:t xml:space="preserve"> de </w:t>
      </w:r>
      <w:r w:rsidR="00A77451" w:rsidRPr="00FB4616">
        <w:rPr>
          <w:rFonts w:ascii="Arial" w:eastAsia="ArialMT" w:hAnsi="Arial" w:cs="Arial"/>
        </w:rPr>
        <w:t>condón</w:t>
      </w:r>
      <w:r w:rsidRPr="00FB4616">
        <w:rPr>
          <w:rFonts w:ascii="Arial" w:eastAsia="ArialMT" w:hAnsi="Arial" w:cs="Arial"/>
        </w:rPr>
        <w:t>, entre otros (</w:t>
      </w:r>
      <w:r w:rsidR="00A77451" w:rsidRPr="00FB4616">
        <w:rPr>
          <w:rFonts w:ascii="Arial" w:eastAsia="ArialMT" w:hAnsi="Arial" w:cs="Arial"/>
        </w:rPr>
        <w:t xml:space="preserve">IIIA). </w:t>
      </w:r>
      <w:r w:rsidRPr="00FB4616">
        <w:rPr>
          <w:rFonts w:ascii="Arial" w:eastAsia="ArialMT" w:hAnsi="Arial" w:cs="Arial"/>
        </w:rPr>
        <w:t xml:space="preserve">Igualmente, se debe dar soporte emocional a la persona expuesta y a </w:t>
      </w:r>
      <w:r w:rsidR="00A77451" w:rsidRPr="00FB4616">
        <w:rPr>
          <w:rFonts w:ascii="Arial" w:eastAsia="ArialMT" w:hAnsi="Arial" w:cs="Arial"/>
        </w:rPr>
        <w:t xml:space="preserve">su familia. La persona expuesta </w:t>
      </w:r>
      <w:r w:rsidRPr="00FB4616">
        <w:rPr>
          <w:rFonts w:ascii="Arial" w:eastAsia="ArialMT" w:hAnsi="Arial" w:cs="Arial"/>
        </w:rPr>
        <w:t xml:space="preserve">no debe donar sangre u </w:t>
      </w:r>
      <w:r w:rsidR="00A77451" w:rsidRPr="00FB4616">
        <w:rPr>
          <w:rFonts w:ascii="Arial" w:eastAsia="ArialMT" w:hAnsi="Arial" w:cs="Arial"/>
        </w:rPr>
        <w:t>órganos</w:t>
      </w:r>
      <w:r w:rsidRPr="00FB4616">
        <w:rPr>
          <w:rFonts w:ascii="Arial" w:eastAsia="ArialMT" w:hAnsi="Arial" w:cs="Arial"/>
        </w:rPr>
        <w:t xml:space="preserve"> durante el periodo de seguim</w:t>
      </w:r>
      <w:r w:rsidR="00A77451" w:rsidRPr="00FB4616">
        <w:rPr>
          <w:rFonts w:ascii="Arial" w:eastAsia="ArialMT" w:hAnsi="Arial" w:cs="Arial"/>
        </w:rPr>
        <w:t>iento, para prevenir la posible transmisión</w:t>
      </w:r>
      <w:r w:rsidRPr="00FB4616">
        <w:rPr>
          <w:rFonts w:ascii="Arial" w:eastAsia="ArialMT" w:hAnsi="Arial" w:cs="Arial"/>
        </w:rPr>
        <w:t xml:space="preserve"> de ITS, VIH o Hepatitis B o C.</w:t>
      </w:r>
    </w:p>
    <w:p w14:paraId="7F4601F1" w14:textId="2416B2A2" w:rsidR="00FB4616" w:rsidRDefault="00FB4616" w:rsidP="00FB4616">
      <w:pPr>
        <w:autoSpaceDE w:val="0"/>
        <w:autoSpaceDN w:val="0"/>
        <w:adjustRightInd w:val="0"/>
        <w:spacing w:after="0" w:line="240" w:lineRule="auto"/>
        <w:jc w:val="both"/>
        <w:rPr>
          <w:rFonts w:ascii="Arial" w:hAnsi="Arial" w:cs="Arial"/>
          <w:i/>
          <w:iCs/>
          <w:color w:val="000000"/>
        </w:rPr>
      </w:pPr>
    </w:p>
    <w:p w14:paraId="15CFA5E7" w14:textId="5A1C5978" w:rsidR="00FB4616" w:rsidRDefault="00FB4616" w:rsidP="00FB4616">
      <w:pPr>
        <w:autoSpaceDE w:val="0"/>
        <w:autoSpaceDN w:val="0"/>
        <w:adjustRightInd w:val="0"/>
        <w:spacing w:after="0" w:line="240" w:lineRule="auto"/>
        <w:jc w:val="both"/>
        <w:rPr>
          <w:rFonts w:ascii="Arial" w:hAnsi="Arial" w:cs="Arial"/>
          <w:i/>
          <w:iCs/>
          <w:color w:val="000000"/>
        </w:rPr>
      </w:pPr>
    </w:p>
    <w:p w14:paraId="0CA14689" w14:textId="221BA580" w:rsidR="00FB4616" w:rsidRDefault="00FB4616" w:rsidP="00FB4616">
      <w:pPr>
        <w:autoSpaceDE w:val="0"/>
        <w:autoSpaceDN w:val="0"/>
        <w:adjustRightInd w:val="0"/>
        <w:spacing w:after="0" w:line="240" w:lineRule="auto"/>
        <w:jc w:val="both"/>
        <w:rPr>
          <w:rFonts w:ascii="Arial" w:hAnsi="Arial" w:cs="Arial"/>
          <w:i/>
          <w:iCs/>
          <w:color w:val="000000"/>
        </w:rPr>
      </w:pPr>
    </w:p>
    <w:p w14:paraId="19A8EE07" w14:textId="00C043CF" w:rsidR="00FB4616" w:rsidRDefault="00FB4616" w:rsidP="00FB4616">
      <w:pPr>
        <w:autoSpaceDE w:val="0"/>
        <w:autoSpaceDN w:val="0"/>
        <w:adjustRightInd w:val="0"/>
        <w:spacing w:after="0" w:line="240" w:lineRule="auto"/>
        <w:jc w:val="both"/>
        <w:rPr>
          <w:rFonts w:ascii="Arial" w:hAnsi="Arial" w:cs="Arial"/>
          <w:i/>
          <w:iCs/>
          <w:color w:val="000000"/>
        </w:rPr>
      </w:pPr>
    </w:p>
    <w:p w14:paraId="6AF617B1" w14:textId="7DF7C3AE" w:rsidR="00FB4616" w:rsidRDefault="00FB4616" w:rsidP="00FB4616">
      <w:pPr>
        <w:autoSpaceDE w:val="0"/>
        <w:autoSpaceDN w:val="0"/>
        <w:adjustRightInd w:val="0"/>
        <w:spacing w:after="0" w:line="240" w:lineRule="auto"/>
        <w:jc w:val="both"/>
        <w:rPr>
          <w:rFonts w:ascii="Arial" w:hAnsi="Arial" w:cs="Arial"/>
          <w:i/>
          <w:iCs/>
          <w:color w:val="000000"/>
        </w:rPr>
      </w:pPr>
    </w:p>
    <w:p w14:paraId="251AE29F" w14:textId="1374C3B5" w:rsidR="00FB4616" w:rsidRDefault="00FB4616" w:rsidP="00FB4616">
      <w:pPr>
        <w:autoSpaceDE w:val="0"/>
        <w:autoSpaceDN w:val="0"/>
        <w:adjustRightInd w:val="0"/>
        <w:spacing w:after="0" w:line="240" w:lineRule="auto"/>
        <w:jc w:val="both"/>
        <w:rPr>
          <w:rFonts w:ascii="Arial" w:hAnsi="Arial" w:cs="Arial"/>
          <w:i/>
          <w:iCs/>
          <w:color w:val="000000"/>
        </w:rPr>
      </w:pPr>
    </w:p>
    <w:p w14:paraId="0184B759" w14:textId="77777777" w:rsidR="00FB4616" w:rsidRPr="00FB4616" w:rsidRDefault="00FB4616" w:rsidP="00FB4616">
      <w:pPr>
        <w:autoSpaceDE w:val="0"/>
        <w:autoSpaceDN w:val="0"/>
        <w:adjustRightInd w:val="0"/>
        <w:spacing w:after="0" w:line="240" w:lineRule="auto"/>
        <w:jc w:val="both"/>
        <w:rPr>
          <w:rFonts w:ascii="Arial" w:hAnsi="Arial" w:cs="Arial"/>
          <w:i/>
          <w:iCs/>
          <w:color w:val="000000"/>
        </w:rPr>
      </w:pPr>
    </w:p>
    <w:p w14:paraId="207E9DF8" w14:textId="67A74FA9" w:rsidR="000B04B0" w:rsidRPr="002F0AC5" w:rsidRDefault="00E2624B" w:rsidP="00532CAC">
      <w:pPr>
        <w:pStyle w:val="Ttulo1"/>
        <w:numPr>
          <w:ilvl w:val="0"/>
          <w:numId w:val="6"/>
        </w:numPr>
      </w:pPr>
      <w:bookmarkStart w:id="9" w:name="_Toc32502169"/>
      <w:r w:rsidRPr="002F0AC5">
        <w:lastRenderedPageBreak/>
        <w:t>INTERVENCIÓN FARMACOLÓGICA EN PROFILAXIS POST-EXPOSICIÓN DEL VIH, EN PERSONAS CON 13 AÑOS Y MÁS.</w:t>
      </w:r>
      <w:bookmarkEnd w:id="9"/>
    </w:p>
    <w:p w14:paraId="042977A9" w14:textId="77777777" w:rsidR="000621FE" w:rsidRPr="002F0AC5" w:rsidRDefault="000621FE" w:rsidP="000B04B0">
      <w:pPr>
        <w:autoSpaceDE w:val="0"/>
        <w:autoSpaceDN w:val="0"/>
        <w:adjustRightInd w:val="0"/>
        <w:spacing w:after="0" w:line="240" w:lineRule="auto"/>
        <w:rPr>
          <w:rFonts w:ascii="Arial" w:hAnsi="Arial" w:cs="Arial"/>
          <w:b/>
          <w:bCs/>
          <w:color w:val="4F82BE"/>
        </w:rPr>
      </w:pPr>
    </w:p>
    <w:tbl>
      <w:tblPr>
        <w:tblW w:w="9067" w:type="dxa"/>
        <w:tblInd w:w="75" w:type="dxa"/>
        <w:tblCellMar>
          <w:left w:w="70" w:type="dxa"/>
          <w:right w:w="70" w:type="dxa"/>
        </w:tblCellMar>
        <w:tblLook w:val="04A0" w:firstRow="1" w:lastRow="0" w:firstColumn="1" w:lastColumn="0" w:noHBand="0" w:noVBand="1"/>
      </w:tblPr>
      <w:tblGrid>
        <w:gridCol w:w="4598"/>
        <w:gridCol w:w="4469"/>
      </w:tblGrid>
      <w:tr w:rsidR="000621FE" w:rsidRPr="002F0AC5" w14:paraId="49FDBAA5" w14:textId="77777777" w:rsidTr="00D924A6">
        <w:trPr>
          <w:trHeight w:val="509"/>
        </w:trPr>
        <w:tc>
          <w:tcPr>
            <w:tcW w:w="9067" w:type="dxa"/>
            <w:gridSpan w:val="2"/>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vAlign w:val="bottom"/>
            <w:hideMark/>
          </w:tcPr>
          <w:p w14:paraId="45E053DA" w14:textId="78B4A26B" w:rsidR="000621FE" w:rsidRPr="002F0AC5" w:rsidRDefault="000621FE" w:rsidP="000621FE">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 xml:space="preserve">PROFILAXIS POST EXPOSICIÓN AL </w:t>
            </w:r>
            <w:r w:rsidR="00FB4616" w:rsidRPr="002F0AC5">
              <w:rPr>
                <w:rFonts w:ascii="Arial" w:eastAsia="Times New Roman" w:hAnsi="Arial" w:cs="Arial"/>
                <w:b/>
                <w:color w:val="000000"/>
                <w:lang w:eastAsia="es-CO"/>
              </w:rPr>
              <w:t>VIH</w:t>
            </w:r>
            <w:r w:rsidR="00FB4616" w:rsidRPr="002F0AC5">
              <w:rPr>
                <w:rFonts w:ascii="Arial" w:eastAsia="Times New Roman" w:hAnsi="Arial" w:cs="Arial"/>
                <w:color w:val="000000"/>
                <w:lang w:eastAsia="es-CO"/>
              </w:rPr>
              <w:t xml:space="preserve"> EN</w:t>
            </w:r>
            <w:r w:rsidRPr="002F0AC5">
              <w:rPr>
                <w:rFonts w:ascii="Arial" w:eastAsia="Times New Roman" w:hAnsi="Arial" w:cs="Arial"/>
                <w:color w:val="000000"/>
                <w:lang w:eastAsia="es-CO"/>
              </w:rPr>
              <w:t xml:space="preserve"> PERSONAS MAYORES DE 13 AÑOS, INCLUSO MUJERES GESTANTES</w:t>
            </w:r>
          </w:p>
        </w:tc>
      </w:tr>
      <w:tr w:rsidR="000621FE" w:rsidRPr="002F0AC5" w14:paraId="3D5CED9F" w14:textId="77777777" w:rsidTr="00D924A6">
        <w:trPr>
          <w:trHeight w:val="509"/>
        </w:trPr>
        <w:tc>
          <w:tcPr>
            <w:tcW w:w="9067" w:type="dxa"/>
            <w:gridSpan w:val="2"/>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25EE2DBA" w14:textId="77777777" w:rsidR="000621FE" w:rsidRPr="002F0AC5" w:rsidRDefault="000621FE" w:rsidP="000621FE">
            <w:pPr>
              <w:spacing w:after="0" w:line="240" w:lineRule="auto"/>
              <w:rPr>
                <w:rFonts w:ascii="Arial" w:eastAsia="Times New Roman" w:hAnsi="Arial" w:cs="Arial"/>
                <w:color w:val="000000"/>
                <w:lang w:eastAsia="es-CO"/>
              </w:rPr>
            </w:pPr>
          </w:p>
        </w:tc>
      </w:tr>
      <w:tr w:rsidR="000621FE" w:rsidRPr="002F0AC5" w14:paraId="02C96E01" w14:textId="77777777" w:rsidTr="00FB4616">
        <w:trPr>
          <w:trHeight w:val="827"/>
        </w:trPr>
        <w:tc>
          <w:tcPr>
            <w:tcW w:w="9067"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bottom"/>
            <w:hideMark/>
          </w:tcPr>
          <w:p w14:paraId="3114B751" w14:textId="77777777" w:rsidR="000621FE" w:rsidRPr="002F0AC5" w:rsidRDefault="000621FE" w:rsidP="000621FE">
            <w:pPr>
              <w:spacing w:after="0" w:line="240" w:lineRule="auto"/>
              <w:jc w:val="center"/>
              <w:rPr>
                <w:rFonts w:ascii="Arial" w:eastAsia="Times New Roman" w:hAnsi="Arial" w:cs="Arial"/>
                <w:color w:val="000000"/>
                <w:lang w:eastAsia="es-CO"/>
              </w:rPr>
            </w:pPr>
            <w:r w:rsidRPr="00FB4616">
              <w:rPr>
                <w:rFonts w:ascii="Arial" w:eastAsia="Times New Roman" w:hAnsi="Arial" w:cs="Arial"/>
                <w:b/>
                <w:bCs/>
                <w:color w:val="000000"/>
                <w:lang w:eastAsia="es-CO"/>
              </w:rPr>
              <w:t>Profilaxis post exposición del</w:t>
            </w:r>
            <w:r w:rsidRPr="002F0AC5">
              <w:rPr>
                <w:rFonts w:ascii="Arial" w:eastAsia="Times New Roman" w:hAnsi="Arial" w:cs="Arial"/>
                <w:color w:val="000000"/>
                <w:lang w:eastAsia="es-CO"/>
              </w:rPr>
              <w:t xml:space="preserve"> </w:t>
            </w:r>
            <w:r w:rsidRPr="002F0AC5">
              <w:rPr>
                <w:rFonts w:ascii="Arial" w:eastAsia="Times New Roman" w:hAnsi="Arial" w:cs="Arial"/>
                <w:b/>
                <w:color w:val="000000"/>
                <w:lang w:eastAsia="es-CO"/>
              </w:rPr>
              <w:t>VIH:</w:t>
            </w:r>
            <w:r w:rsidRPr="002F0AC5">
              <w:rPr>
                <w:rFonts w:ascii="Arial" w:eastAsia="Times New Roman" w:hAnsi="Arial" w:cs="Arial"/>
                <w:color w:val="000000"/>
                <w:lang w:eastAsia="es-CO"/>
              </w:rPr>
              <w:t xml:space="preserve"> El servicio de salud que atienda la urgencia e inicie la profilaxis del VIH, debe en todos los casos entregar al alta del paciente, el total de las dosis necesarias para completar 30 días de tratamiento profiláctico</w:t>
            </w:r>
          </w:p>
        </w:tc>
      </w:tr>
      <w:tr w:rsidR="000621FE" w:rsidRPr="002F0AC5" w14:paraId="5646E024" w14:textId="77777777" w:rsidTr="00FB4616">
        <w:trPr>
          <w:trHeight w:val="300"/>
        </w:trPr>
        <w:tc>
          <w:tcPr>
            <w:tcW w:w="4598" w:type="dxa"/>
            <w:tcBorders>
              <w:top w:val="nil"/>
              <w:left w:val="single" w:sz="4" w:space="0" w:color="auto"/>
              <w:bottom w:val="single" w:sz="4" w:space="0" w:color="auto"/>
              <w:right w:val="single" w:sz="4" w:space="0" w:color="auto"/>
            </w:tcBorders>
            <w:shd w:val="clear" w:color="000000" w:fill="DDEBF7"/>
            <w:noWrap/>
            <w:vAlign w:val="bottom"/>
            <w:hideMark/>
          </w:tcPr>
          <w:p w14:paraId="048DCC19" w14:textId="49DA8FD1" w:rsidR="000621FE" w:rsidRPr="002F0AC5" w:rsidRDefault="00FB4616" w:rsidP="000621FE">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MEDICAMENTO</w:t>
            </w:r>
          </w:p>
        </w:tc>
        <w:tc>
          <w:tcPr>
            <w:tcW w:w="4469" w:type="dxa"/>
            <w:tcBorders>
              <w:top w:val="nil"/>
              <w:left w:val="nil"/>
              <w:bottom w:val="single" w:sz="4" w:space="0" w:color="auto"/>
              <w:right w:val="single" w:sz="4" w:space="0" w:color="auto"/>
            </w:tcBorders>
            <w:shd w:val="clear" w:color="000000" w:fill="DDEBF7"/>
            <w:noWrap/>
            <w:vAlign w:val="bottom"/>
            <w:hideMark/>
          </w:tcPr>
          <w:p w14:paraId="4EDB833F" w14:textId="123DD172" w:rsidR="000621FE" w:rsidRPr="002F0AC5" w:rsidRDefault="00FB4616" w:rsidP="000621FE">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PRESENTACIÓN Y DOSIS</w:t>
            </w:r>
          </w:p>
        </w:tc>
      </w:tr>
      <w:tr w:rsidR="000621FE" w:rsidRPr="002F0AC5" w14:paraId="6B306E3D" w14:textId="77777777" w:rsidTr="00FB4616">
        <w:trPr>
          <w:trHeight w:val="900"/>
        </w:trPr>
        <w:tc>
          <w:tcPr>
            <w:tcW w:w="4598" w:type="dxa"/>
            <w:tcBorders>
              <w:top w:val="nil"/>
              <w:left w:val="single" w:sz="4" w:space="0" w:color="auto"/>
              <w:bottom w:val="single" w:sz="4" w:space="0" w:color="auto"/>
              <w:right w:val="single" w:sz="4" w:space="0" w:color="auto"/>
            </w:tcBorders>
            <w:shd w:val="clear" w:color="auto" w:fill="auto"/>
            <w:noWrap/>
            <w:vAlign w:val="center"/>
            <w:hideMark/>
          </w:tcPr>
          <w:p w14:paraId="7811B4F1" w14:textId="77777777" w:rsidR="000621FE" w:rsidRPr="002F0AC5" w:rsidRDefault="000621FE" w:rsidP="000621FE">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Primera opción:    </w:t>
            </w:r>
            <w:proofErr w:type="spellStart"/>
            <w:r w:rsidRPr="002F0AC5">
              <w:rPr>
                <w:rFonts w:ascii="Arial" w:eastAsia="Times New Roman" w:hAnsi="Arial" w:cs="Arial"/>
                <w:color w:val="000000"/>
                <w:lang w:eastAsia="es-CO"/>
              </w:rPr>
              <w:t>Tenofovir</w:t>
            </w:r>
            <w:proofErr w:type="spellEnd"/>
            <w:r w:rsidRPr="002F0AC5">
              <w:rPr>
                <w:rFonts w:ascii="Arial" w:eastAsia="Times New Roman" w:hAnsi="Arial" w:cs="Arial"/>
                <w:color w:val="000000"/>
                <w:lang w:eastAsia="es-CO"/>
              </w:rPr>
              <w:t xml:space="preserve"> / </w:t>
            </w:r>
            <w:proofErr w:type="spellStart"/>
            <w:r w:rsidRPr="002F0AC5">
              <w:rPr>
                <w:rFonts w:ascii="Arial" w:eastAsia="Times New Roman" w:hAnsi="Arial" w:cs="Arial"/>
                <w:color w:val="000000"/>
                <w:lang w:eastAsia="es-CO"/>
              </w:rPr>
              <w:t>emtricitabina</w:t>
            </w:r>
            <w:proofErr w:type="spellEnd"/>
            <w:r w:rsidRPr="002F0AC5">
              <w:rPr>
                <w:rFonts w:ascii="Arial" w:eastAsia="Times New Roman" w:hAnsi="Arial" w:cs="Arial"/>
                <w:color w:val="000000"/>
                <w:lang w:eastAsia="es-CO"/>
              </w:rPr>
              <w:t xml:space="preserve"> y </w:t>
            </w:r>
            <w:proofErr w:type="spellStart"/>
            <w:r w:rsidRPr="002F0AC5">
              <w:rPr>
                <w:rFonts w:ascii="Arial" w:eastAsia="Times New Roman" w:hAnsi="Arial" w:cs="Arial"/>
                <w:color w:val="000000"/>
                <w:lang w:eastAsia="es-CO"/>
              </w:rPr>
              <w:t>Dolutegravir</w:t>
            </w:r>
            <w:proofErr w:type="spellEnd"/>
          </w:p>
        </w:tc>
        <w:tc>
          <w:tcPr>
            <w:tcW w:w="4469" w:type="dxa"/>
            <w:vMerge w:val="restart"/>
            <w:tcBorders>
              <w:top w:val="nil"/>
              <w:left w:val="single" w:sz="4" w:space="0" w:color="auto"/>
              <w:bottom w:val="single" w:sz="4" w:space="0" w:color="000000"/>
              <w:right w:val="single" w:sz="4" w:space="0" w:color="auto"/>
            </w:tcBorders>
            <w:shd w:val="clear" w:color="auto" w:fill="auto"/>
            <w:vAlign w:val="center"/>
            <w:hideMark/>
          </w:tcPr>
          <w:p w14:paraId="5A578905" w14:textId="77777777" w:rsidR="000621FE" w:rsidRPr="002F0AC5" w:rsidRDefault="000621FE" w:rsidP="000621FE">
            <w:pPr>
              <w:spacing w:after="0" w:line="240" w:lineRule="auto"/>
              <w:jc w:val="center"/>
              <w:rPr>
                <w:rFonts w:ascii="Arial" w:eastAsia="Times New Roman" w:hAnsi="Arial" w:cs="Arial"/>
                <w:color w:val="000000"/>
                <w:lang w:eastAsia="es-CO"/>
              </w:rPr>
            </w:pPr>
            <w:proofErr w:type="spellStart"/>
            <w:r w:rsidRPr="002F0AC5">
              <w:rPr>
                <w:rFonts w:ascii="Arial" w:eastAsia="Times New Roman" w:hAnsi="Arial" w:cs="Arial"/>
                <w:color w:val="000000"/>
                <w:lang w:eastAsia="es-CO"/>
              </w:rPr>
              <w:t>Tenofovir</w:t>
            </w:r>
            <w:proofErr w:type="spellEnd"/>
            <w:r w:rsidRPr="002F0AC5">
              <w:rPr>
                <w:rFonts w:ascii="Arial" w:eastAsia="Times New Roman" w:hAnsi="Arial" w:cs="Arial"/>
                <w:color w:val="000000"/>
                <w:lang w:eastAsia="es-CO"/>
              </w:rPr>
              <w:t xml:space="preserve"> / </w:t>
            </w:r>
            <w:proofErr w:type="spellStart"/>
            <w:r w:rsidRPr="002F0AC5">
              <w:rPr>
                <w:rFonts w:ascii="Arial" w:eastAsia="Times New Roman" w:hAnsi="Arial" w:cs="Arial"/>
                <w:color w:val="000000"/>
                <w:lang w:eastAsia="es-CO"/>
              </w:rPr>
              <w:t>emtricitabina</w:t>
            </w:r>
            <w:proofErr w:type="spellEnd"/>
            <w:r w:rsidRPr="002F0AC5">
              <w:rPr>
                <w:rFonts w:ascii="Arial" w:eastAsia="Times New Roman" w:hAnsi="Arial" w:cs="Arial"/>
                <w:color w:val="000000"/>
                <w:lang w:eastAsia="es-CO"/>
              </w:rPr>
              <w:t xml:space="preserve"> – tabletas x 300 / 200 – 1 al día x 30  </w:t>
            </w:r>
            <w:r w:rsidRPr="002F0AC5">
              <w:rPr>
                <w:rFonts w:ascii="Arial" w:eastAsia="Times New Roman" w:hAnsi="Arial" w:cs="Arial"/>
                <w:color w:val="000000"/>
                <w:lang w:eastAsia="es-CO"/>
              </w:rPr>
              <w:br/>
              <w:t xml:space="preserve">                                                                                             </w:t>
            </w:r>
            <w:proofErr w:type="spellStart"/>
            <w:r w:rsidRPr="002F0AC5">
              <w:rPr>
                <w:rFonts w:ascii="Arial" w:eastAsia="Times New Roman" w:hAnsi="Arial" w:cs="Arial"/>
                <w:color w:val="000000"/>
                <w:lang w:eastAsia="es-CO"/>
              </w:rPr>
              <w:t>Dolutegravir</w:t>
            </w:r>
            <w:proofErr w:type="spellEnd"/>
            <w:r w:rsidRPr="002F0AC5">
              <w:rPr>
                <w:rFonts w:ascii="Arial" w:eastAsia="Times New Roman" w:hAnsi="Arial" w:cs="Arial"/>
                <w:color w:val="000000"/>
                <w:lang w:eastAsia="es-CO"/>
              </w:rPr>
              <w:t xml:space="preserve"> – tab x 50 mg 1 al día x 30 días.</w:t>
            </w:r>
            <w:r w:rsidRPr="002F0AC5">
              <w:rPr>
                <w:rFonts w:ascii="Arial" w:eastAsia="Times New Roman" w:hAnsi="Arial" w:cs="Arial"/>
                <w:color w:val="000000"/>
                <w:lang w:eastAsia="es-CO"/>
              </w:rPr>
              <w:br/>
              <w:t>Darunavir – tab x 800 mg 1 al día x 30 días.</w:t>
            </w:r>
            <w:r w:rsidRPr="002F0AC5">
              <w:rPr>
                <w:rFonts w:ascii="Arial" w:eastAsia="Times New Roman" w:hAnsi="Arial" w:cs="Arial"/>
                <w:color w:val="000000"/>
                <w:lang w:eastAsia="es-CO"/>
              </w:rPr>
              <w:br/>
            </w:r>
            <w:proofErr w:type="spellStart"/>
            <w:r w:rsidRPr="002F0AC5">
              <w:rPr>
                <w:rFonts w:ascii="Arial" w:eastAsia="Times New Roman" w:hAnsi="Arial" w:cs="Arial"/>
                <w:color w:val="000000"/>
                <w:lang w:eastAsia="es-CO"/>
              </w:rPr>
              <w:t>Atazanavir</w:t>
            </w:r>
            <w:proofErr w:type="spellEnd"/>
            <w:r w:rsidRPr="002F0AC5">
              <w:rPr>
                <w:rFonts w:ascii="Arial" w:eastAsia="Times New Roman" w:hAnsi="Arial" w:cs="Arial"/>
                <w:color w:val="000000"/>
                <w:lang w:eastAsia="es-CO"/>
              </w:rPr>
              <w:t xml:space="preserve"> – </w:t>
            </w:r>
            <w:proofErr w:type="spellStart"/>
            <w:r w:rsidRPr="002F0AC5">
              <w:rPr>
                <w:rFonts w:ascii="Arial" w:eastAsia="Times New Roman" w:hAnsi="Arial" w:cs="Arial"/>
                <w:color w:val="000000"/>
                <w:lang w:eastAsia="es-CO"/>
              </w:rPr>
              <w:t>Tab</w:t>
            </w:r>
            <w:proofErr w:type="spellEnd"/>
            <w:r w:rsidRPr="002F0AC5">
              <w:rPr>
                <w:rFonts w:ascii="Arial" w:eastAsia="Times New Roman" w:hAnsi="Arial" w:cs="Arial"/>
                <w:color w:val="000000"/>
                <w:lang w:eastAsia="es-CO"/>
              </w:rPr>
              <w:t xml:space="preserve"> x 300 mg 1 al día x 30 días.                                                                                    </w:t>
            </w:r>
            <w:proofErr w:type="spellStart"/>
            <w:r w:rsidRPr="002F0AC5">
              <w:rPr>
                <w:rFonts w:ascii="Arial" w:eastAsia="Times New Roman" w:hAnsi="Arial" w:cs="Arial"/>
                <w:color w:val="000000"/>
                <w:lang w:eastAsia="es-CO"/>
              </w:rPr>
              <w:t>Ritonavir</w:t>
            </w:r>
            <w:proofErr w:type="spellEnd"/>
            <w:r w:rsidRPr="002F0AC5">
              <w:rPr>
                <w:rFonts w:ascii="Arial" w:eastAsia="Times New Roman" w:hAnsi="Arial" w:cs="Arial"/>
                <w:color w:val="000000"/>
                <w:lang w:eastAsia="es-CO"/>
              </w:rPr>
              <w:t xml:space="preserve"> – </w:t>
            </w:r>
            <w:proofErr w:type="spellStart"/>
            <w:r w:rsidRPr="002F0AC5">
              <w:rPr>
                <w:rFonts w:ascii="Arial" w:eastAsia="Times New Roman" w:hAnsi="Arial" w:cs="Arial"/>
                <w:color w:val="000000"/>
                <w:lang w:eastAsia="es-CO"/>
              </w:rPr>
              <w:t>Tab</w:t>
            </w:r>
            <w:proofErr w:type="spellEnd"/>
            <w:r w:rsidRPr="002F0AC5">
              <w:rPr>
                <w:rFonts w:ascii="Arial" w:eastAsia="Times New Roman" w:hAnsi="Arial" w:cs="Arial"/>
                <w:color w:val="000000"/>
                <w:lang w:eastAsia="es-CO"/>
              </w:rPr>
              <w:t xml:space="preserve"> x 100 mg 1 al día x 30 días</w:t>
            </w:r>
          </w:p>
        </w:tc>
      </w:tr>
      <w:tr w:rsidR="000621FE" w:rsidRPr="002F0AC5" w14:paraId="4A913ECC" w14:textId="77777777" w:rsidTr="00FB4616">
        <w:trPr>
          <w:trHeight w:val="690"/>
        </w:trPr>
        <w:tc>
          <w:tcPr>
            <w:tcW w:w="4598" w:type="dxa"/>
            <w:tcBorders>
              <w:top w:val="nil"/>
              <w:left w:val="single" w:sz="4" w:space="0" w:color="auto"/>
              <w:bottom w:val="single" w:sz="4" w:space="0" w:color="auto"/>
              <w:right w:val="single" w:sz="4" w:space="0" w:color="auto"/>
            </w:tcBorders>
            <w:shd w:val="clear" w:color="auto" w:fill="auto"/>
            <w:vAlign w:val="center"/>
            <w:hideMark/>
          </w:tcPr>
          <w:p w14:paraId="3C0209CE" w14:textId="77777777" w:rsidR="000621FE" w:rsidRPr="002F0AC5" w:rsidRDefault="000621FE" w:rsidP="000621FE">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Segunda opción: </w:t>
            </w:r>
            <w:proofErr w:type="spellStart"/>
            <w:r w:rsidRPr="002F0AC5">
              <w:rPr>
                <w:rFonts w:ascii="Arial" w:eastAsia="Times New Roman" w:hAnsi="Arial" w:cs="Arial"/>
                <w:color w:val="000000"/>
                <w:lang w:eastAsia="es-CO"/>
              </w:rPr>
              <w:t>Tenofovir</w:t>
            </w:r>
            <w:proofErr w:type="spellEnd"/>
            <w:r w:rsidRPr="002F0AC5">
              <w:rPr>
                <w:rFonts w:ascii="Arial" w:eastAsia="Times New Roman" w:hAnsi="Arial" w:cs="Arial"/>
                <w:color w:val="000000"/>
                <w:lang w:eastAsia="es-CO"/>
              </w:rPr>
              <w:t xml:space="preserve"> / </w:t>
            </w:r>
            <w:proofErr w:type="spellStart"/>
            <w:r w:rsidRPr="002F0AC5">
              <w:rPr>
                <w:rFonts w:ascii="Arial" w:eastAsia="Times New Roman" w:hAnsi="Arial" w:cs="Arial"/>
                <w:color w:val="000000"/>
                <w:lang w:eastAsia="es-CO"/>
              </w:rPr>
              <w:t>emtricitabina</w:t>
            </w:r>
            <w:proofErr w:type="spellEnd"/>
            <w:r w:rsidRPr="002F0AC5">
              <w:rPr>
                <w:rFonts w:ascii="Arial" w:eastAsia="Times New Roman" w:hAnsi="Arial" w:cs="Arial"/>
                <w:color w:val="000000"/>
                <w:lang w:eastAsia="es-CO"/>
              </w:rPr>
              <w:t xml:space="preserve"> con </w:t>
            </w:r>
            <w:proofErr w:type="spellStart"/>
            <w:r w:rsidRPr="002F0AC5">
              <w:rPr>
                <w:rFonts w:ascii="Arial" w:eastAsia="Times New Roman" w:hAnsi="Arial" w:cs="Arial"/>
                <w:color w:val="000000"/>
                <w:lang w:eastAsia="es-CO"/>
              </w:rPr>
              <w:t>Darunavir</w:t>
            </w:r>
            <w:proofErr w:type="spellEnd"/>
            <w:r w:rsidRPr="002F0AC5">
              <w:rPr>
                <w:rFonts w:ascii="Arial" w:eastAsia="Times New Roman" w:hAnsi="Arial" w:cs="Arial"/>
                <w:color w:val="000000"/>
                <w:lang w:eastAsia="es-CO"/>
              </w:rPr>
              <w:t xml:space="preserve"> / </w:t>
            </w:r>
            <w:proofErr w:type="spellStart"/>
            <w:r w:rsidRPr="002F0AC5">
              <w:rPr>
                <w:rFonts w:ascii="Arial" w:eastAsia="Times New Roman" w:hAnsi="Arial" w:cs="Arial"/>
                <w:color w:val="000000"/>
                <w:lang w:eastAsia="es-CO"/>
              </w:rPr>
              <w:t>ritonavir</w:t>
            </w:r>
            <w:proofErr w:type="spellEnd"/>
          </w:p>
        </w:tc>
        <w:tc>
          <w:tcPr>
            <w:tcW w:w="4469" w:type="dxa"/>
            <w:vMerge/>
            <w:tcBorders>
              <w:top w:val="nil"/>
              <w:left w:val="single" w:sz="4" w:space="0" w:color="auto"/>
              <w:bottom w:val="single" w:sz="4" w:space="0" w:color="000000"/>
              <w:right w:val="single" w:sz="4" w:space="0" w:color="auto"/>
            </w:tcBorders>
            <w:vAlign w:val="center"/>
            <w:hideMark/>
          </w:tcPr>
          <w:p w14:paraId="353EF030" w14:textId="77777777" w:rsidR="000621FE" w:rsidRPr="002F0AC5" w:rsidRDefault="000621FE" w:rsidP="000621FE">
            <w:pPr>
              <w:spacing w:after="0" w:line="240" w:lineRule="auto"/>
              <w:rPr>
                <w:rFonts w:ascii="Arial" w:eastAsia="Times New Roman" w:hAnsi="Arial" w:cs="Arial"/>
                <w:color w:val="000000"/>
                <w:lang w:eastAsia="es-CO"/>
              </w:rPr>
            </w:pPr>
          </w:p>
        </w:tc>
      </w:tr>
      <w:tr w:rsidR="000621FE" w:rsidRPr="002F0AC5" w14:paraId="0BDA9585" w14:textId="77777777" w:rsidTr="00FB4616">
        <w:trPr>
          <w:trHeight w:val="570"/>
        </w:trPr>
        <w:tc>
          <w:tcPr>
            <w:tcW w:w="45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22FE63" w14:textId="77777777" w:rsidR="000621FE" w:rsidRPr="002F0AC5" w:rsidRDefault="000621FE"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Alternativa: </w:t>
            </w:r>
            <w:proofErr w:type="spellStart"/>
            <w:r w:rsidRPr="002F0AC5">
              <w:rPr>
                <w:rFonts w:ascii="Arial" w:eastAsia="Times New Roman" w:hAnsi="Arial" w:cs="Arial"/>
                <w:color w:val="000000"/>
                <w:lang w:eastAsia="es-CO"/>
              </w:rPr>
              <w:t>Tenofovir</w:t>
            </w:r>
            <w:proofErr w:type="spellEnd"/>
            <w:r w:rsidRPr="002F0AC5">
              <w:rPr>
                <w:rFonts w:ascii="Arial" w:eastAsia="Times New Roman" w:hAnsi="Arial" w:cs="Arial"/>
                <w:color w:val="000000"/>
                <w:lang w:eastAsia="es-CO"/>
              </w:rPr>
              <w:t xml:space="preserve"> / </w:t>
            </w:r>
            <w:proofErr w:type="spellStart"/>
            <w:r w:rsidRPr="002F0AC5">
              <w:rPr>
                <w:rFonts w:ascii="Arial" w:eastAsia="Times New Roman" w:hAnsi="Arial" w:cs="Arial"/>
                <w:color w:val="000000"/>
                <w:lang w:eastAsia="es-CO"/>
              </w:rPr>
              <w:t>emtricitabina</w:t>
            </w:r>
            <w:proofErr w:type="spellEnd"/>
            <w:r w:rsidRPr="002F0AC5">
              <w:rPr>
                <w:rFonts w:ascii="Arial" w:eastAsia="Times New Roman" w:hAnsi="Arial" w:cs="Arial"/>
                <w:color w:val="000000"/>
                <w:lang w:eastAsia="es-CO"/>
              </w:rPr>
              <w:t xml:space="preserve"> y </w:t>
            </w:r>
            <w:proofErr w:type="spellStart"/>
            <w:r w:rsidRPr="002F0AC5">
              <w:rPr>
                <w:rFonts w:ascii="Arial" w:eastAsia="Times New Roman" w:hAnsi="Arial" w:cs="Arial"/>
                <w:color w:val="000000"/>
                <w:lang w:eastAsia="es-CO"/>
              </w:rPr>
              <w:t>Atazanavir</w:t>
            </w:r>
            <w:proofErr w:type="spellEnd"/>
            <w:r w:rsidRPr="002F0AC5">
              <w:rPr>
                <w:rFonts w:ascii="Arial" w:eastAsia="Times New Roman" w:hAnsi="Arial" w:cs="Arial"/>
                <w:color w:val="000000"/>
                <w:lang w:eastAsia="es-CO"/>
              </w:rPr>
              <w:t xml:space="preserve"> / </w:t>
            </w:r>
            <w:proofErr w:type="spellStart"/>
            <w:r w:rsidRPr="002F0AC5">
              <w:rPr>
                <w:rFonts w:ascii="Arial" w:eastAsia="Times New Roman" w:hAnsi="Arial" w:cs="Arial"/>
                <w:color w:val="000000"/>
                <w:lang w:eastAsia="es-CO"/>
              </w:rPr>
              <w:t>ritonavir</w:t>
            </w:r>
            <w:proofErr w:type="spellEnd"/>
            <w:r w:rsidRPr="002F0AC5">
              <w:rPr>
                <w:rFonts w:ascii="Arial" w:eastAsia="Times New Roman" w:hAnsi="Arial" w:cs="Arial"/>
                <w:color w:val="000000"/>
                <w:lang w:eastAsia="es-CO"/>
              </w:rPr>
              <w:t>.</w:t>
            </w:r>
          </w:p>
        </w:tc>
        <w:tc>
          <w:tcPr>
            <w:tcW w:w="4469" w:type="dxa"/>
            <w:vMerge/>
            <w:tcBorders>
              <w:top w:val="nil"/>
              <w:left w:val="single" w:sz="4" w:space="0" w:color="auto"/>
              <w:bottom w:val="single" w:sz="4" w:space="0" w:color="000000"/>
              <w:right w:val="single" w:sz="4" w:space="0" w:color="auto"/>
            </w:tcBorders>
            <w:vAlign w:val="center"/>
            <w:hideMark/>
          </w:tcPr>
          <w:p w14:paraId="7685F37A" w14:textId="77777777" w:rsidR="000621FE" w:rsidRPr="002F0AC5" w:rsidRDefault="000621FE" w:rsidP="000621FE">
            <w:pPr>
              <w:spacing w:after="0" w:line="240" w:lineRule="auto"/>
              <w:rPr>
                <w:rFonts w:ascii="Arial" w:eastAsia="Times New Roman" w:hAnsi="Arial" w:cs="Arial"/>
                <w:color w:val="000000"/>
                <w:lang w:eastAsia="es-CO"/>
              </w:rPr>
            </w:pPr>
          </w:p>
        </w:tc>
      </w:tr>
      <w:tr w:rsidR="000621FE" w:rsidRPr="002F0AC5" w14:paraId="5B243354" w14:textId="77777777" w:rsidTr="00FB4616">
        <w:trPr>
          <w:trHeight w:val="509"/>
        </w:trPr>
        <w:tc>
          <w:tcPr>
            <w:tcW w:w="4598" w:type="dxa"/>
            <w:vMerge/>
            <w:tcBorders>
              <w:top w:val="nil"/>
              <w:left w:val="single" w:sz="4" w:space="0" w:color="auto"/>
              <w:bottom w:val="single" w:sz="4" w:space="0" w:color="000000"/>
              <w:right w:val="single" w:sz="4" w:space="0" w:color="auto"/>
            </w:tcBorders>
            <w:vAlign w:val="center"/>
            <w:hideMark/>
          </w:tcPr>
          <w:p w14:paraId="5BA6CF14" w14:textId="77777777" w:rsidR="000621FE" w:rsidRPr="002F0AC5" w:rsidRDefault="000621FE" w:rsidP="000621FE">
            <w:pPr>
              <w:spacing w:after="0" w:line="240" w:lineRule="auto"/>
              <w:rPr>
                <w:rFonts w:ascii="Arial" w:eastAsia="Times New Roman" w:hAnsi="Arial" w:cs="Arial"/>
                <w:color w:val="000000"/>
                <w:lang w:eastAsia="es-CO"/>
              </w:rPr>
            </w:pPr>
          </w:p>
        </w:tc>
        <w:tc>
          <w:tcPr>
            <w:tcW w:w="4469" w:type="dxa"/>
            <w:vMerge/>
            <w:tcBorders>
              <w:top w:val="nil"/>
              <w:left w:val="single" w:sz="4" w:space="0" w:color="auto"/>
              <w:bottom w:val="single" w:sz="4" w:space="0" w:color="000000"/>
              <w:right w:val="single" w:sz="4" w:space="0" w:color="auto"/>
            </w:tcBorders>
            <w:vAlign w:val="center"/>
            <w:hideMark/>
          </w:tcPr>
          <w:p w14:paraId="29632236" w14:textId="77777777" w:rsidR="000621FE" w:rsidRPr="002F0AC5" w:rsidRDefault="000621FE" w:rsidP="000621FE">
            <w:pPr>
              <w:spacing w:after="0" w:line="240" w:lineRule="auto"/>
              <w:rPr>
                <w:rFonts w:ascii="Arial" w:eastAsia="Times New Roman" w:hAnsi="Arial" w:cs="Arial"/>
                <w:color w:val="000000"/>
                <w:lang w:eastAsia="es-CO"/>
              </w:rPr>
            </w:pPr>
          </w:p>
        </w:tc>
      </w:tr>
      <w:tr w:rsidR="000621FE" w:rsidRPr="002F0AC5" w14:paraId="00483B99" w14:textId="77777777" w:rsidTr="00FB4616">
        <w:trPr>
          <w:trHeight w:val="509"/>
        </w:trPr>
        <w:tc>
          <w:tcPr>
            <w:tcW w:w="4598" w:type="dxa"/>
            <w:vMerge/>
            <w:tcBorders>
              <w:top w:val="nil"/>
              <w:left w:val="single" w:sz="4" w:space="0" w:color="auto"/>
              <w:bottom w:val="single" w:sz="4" w:space="0" w:color="000000"/>
              <w:right w:val="single" w:sz="4" w:space="0" w:color="auto"/>
            </w:tcBorders>
            <w:vAlign w:val="center"/>
            <w:hideMark/>
          </w:tcPr>
          <w:p w14:paraId="16D202D2" w14:textId="77777777" w:rsidR="000621FE" w:rsidRPr="002F0AC5" w:rsidRDefault="000621FE" w:rsidP="000621FE">
            <w:pPr>
              <w:spacing w:after="0" w:line="240" w:lineRule="auto"/>
              <w:rPr>
                <w:rFonts w:ascii="Arial" w:eastAsia="Times New Roman" w:hAnsi="Arial" w:cs="Arial"/>
                <w:color w:val="000000"/>
                <w:lang w:eastAsia="es-CO"/>
              </w:rPr>
            </w:pPr>
          </w:p>
        </w:tc>
        <w:tc>
          <w:tcPr>
            <w:tcW w:w="4469" w:type="dxa"/>
            <w:vMerge/>
            <w:tcBorders>
              <w:top w:val="nil"/>
              <w:left w:val="single" w:sz="4" w:space="0" w:color="auto"/>
              <w:bottom w:val="single" w:sz="4" w:space="0" w:color="000000"/>
              <w:right w:val="single" w:sz="4" w:space="0" w:color="auto"/>
            </w:tcBorders>
            <w:vAlign w:val="center"/>
            <w:hideMark/>
          </w:tcPr>
          <w:p w14:paraId="11C2FBF2" w14:textId="77777777" w:rsidR="000621FE" w:rsidRPr="002F0AC5" w:rsidRDefault="000621FE" w:rsidP="000621FE">
            <w:pPr>
              <w:spacing w:after="0" w:line="240" w:lineRule="auto"/>
              <w:rPr>
                <w:rFonts w:ascii="Arial" w:eastAsia="Times New Roman" w:hAnsi="Arial" w:cs="Arial"/>
                <w:color w:val="000000"/>
                <w:lang w:eastAsia="es-CO"/>
              </w:rPr>
            </w:pPr>
          </w:p>
        </w:tc>
      </w:tr>
    </w:tbl>
    <w:p w14:paraId="53459473" w14:textId="77777777" w:rsidR="000621FE" w:rsidRPr="002F0AC5" w:rsidRDefault="009B1646" w:rsidP="00532CAC">
      <w:pPr>
        <w:pStyle w:val="Ttulo1"/>
        <w:numPr>
          <w:ilvl w:val="0"/>
          <w:numId w:val="6"/>
        </w:numPr>
        <w:jc w:val="both"/>
      </w:pPr>
      <w:bookmarkStart w:id="10" w:name="_Toc32502170"/>
      <w:r w:rsidRPr="002F0AC5">
        <w:t>RESUMEN DE EFECTOS SECUNDARIOS DE LOS ARV RECOMENDADOS PARA LA PPE EN</w:t>
      </w:r>
      <w:r w:rsidR="00E2624B" w:rsidRPr="002F0AC5">
        <w:t xml:space="preserve"> </w:t>
      </w:r>
      <w:r w:rsidRPr="002F0AC5">
        <w:t>ADOLESCENTES Y ADULTOS.</w:t>
      </w:r>
      <w:bookmarkEnd w:id="10"/>
    </w:p>
    <w:p w14:paraId="2F5CD353" w14:textId="77777777" w:rsidR="000621FE" w:rsidRPr="002F0AC5" w:rsidRDefault="000621FE" w:rsidP="000B04B0">
      <w:pPr>
        <w:autoSpaceDE w:val="0"/>
        <w:autoSpaceDN w:val="0"/>
        <w:adjustRightInd w:val="0"/>
        <w:spacing w:after="0" w:line="240" w:lineRule="auto"/>
        <w:rPr>
          <w:rFonts w:ascii="Arial" w:hAnsi="Arial" w:cs="Arial"/>
          <w:b/>
          <w:bCs/>
          <w:color w:val="4F82BE"/>
        </w:rPr>
      </w:pPr>
    </w:p>
    <w:tbl>
      <w:tblPr>
        <w:tblW w:w="9114" w:type="dxa"/>
        <w:tblInd w:w="75" w:type="dxa"/>
        <w:tblCellMar>
          <w:left w:w="70" w:type="dxa"/>
          <w:right w:w="70" w:type="dxa"/>
        </w:tblCellMar>
        <w:tblLook w:val="04A0" w:firstRow="1" w:lastRow="0" w:firstColumn="1" w:lastColumn="0" w:noHBand="0" w:noVBand="1"/>
      </w:tblPr>
      <w:tblGrid>
        <w:gridCol w:w="1905"/>
        <w:gridCol w:w="2268"/>
        <w:gridCol w:w="2808"/>
        <w:gridCol w:w="2133"/>
      </w:tblGrid>
      <w:tr w:rsidR="00CE3180" w:rsidRPr="002F0AC5" w14:paraId="2BF78037" w14:textId="77777777" w:rsidTr="00FB4616">
        <w:trPr>
          <w:trHeight w:val="465"/>
        </w:trPr>
        <w:tc>
          <w:tcPr>
            <w:tcW w:w="19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723DEF0" w14:textId="77777777" w:rsidR="00CE3180" w:rsidRPr="002F0AC5" w:rsidRDefault="00CE3180" w:rsidP="00FB4616">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MEDICAMENTO</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62C511D" w14:textId="77777777" w:rsidR="00CE3180" w:rsidRPr="002F0AC5" w:rsidRDefault="00CE3180" w:rsidP="00FB4616">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EFECTOS SECUNDARIOS</w:t>
            </w:r>
          </w:p>
        </w:tc>
        <w:tc>
          <w:tcPr>
            <w:tcW w:w="280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D309AA6" w14:textId="77777777" w:rsidR="00CE3180" w:rsidRPr="002F0AC5" w:rsidRDefault="00CE3180" w:rsidP="00FB4616">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FACTORES DE RIESGO</w:t>
            </w:r>
          </w:p>
        </w:tc>
        <w:tc>
          <w:tcPr>
            <w:tcW w:w="213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CA9DFB2" w14:textId="77777777" w:rsidR="00CE3180" w:rsidRPr="002F0AC5" w:rsidRDefault="00CE3180" w:rsidP="00FB4616">
            <w:pPr>
              <w:spacing w:after="0" w:line="240" w:lineRule="auto"/>
              <w:jc w:val="center"/>
              <w:rPr>
                <w:rFonts w:ascii="Arial" w:eastAsia="Times New Roman" w:hAnsi="Arial" w:cs="Arial"/>
                <w:b/>
                <w:bCs/>
                <w:color w:val="000000"/>
                <w:lang w:eastAsia="es-CO"/>
              </w:rPr>
            </w:pPr>
            <w:r w:rsidRPr="002F0AC5">
              <w:rPr>
                <w:rFonts w:ascii="Arial" w:eastAsia="Times New Roman" w:hAnsi="Arial" w:cs="Arial"/>
                <w:b/>
                <w:bCs/>
                <w:color w:val="000000"/>
                <w:lang w:eastAsia="es-CO"/>
              </w:rPr>
              <w:t>RECOMENDACIÓN</w:t>
            </w:r>
          </w:p>
        </w:tc>
      </w:tr>
      <w:tr w:rsidR="00CE3180" w:rsidRPr="002F0AC5" w14:paraId="7FA69507" w14:textId="77777777" w:rsidTr="00FB4616">
        <w:trPr>
          <w:trHeight w:val="2430"/>
        </w:trPr>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14:paraId="50FE7B92" w14:textId="77777777" w:rsidR="00CE3180" w:rsidRPr="002F0AC5" w:rsidRDefault="00CE3180" w:rsidP="00FB4616">
            <w:pPr>
              <w:spacing w:after="0" w:line="240" w:lineRule="auto"/>
              <w:rPr>
                <w:rFonts w:ascii="Arial" w:eastAsia="Times New Roman" w:hAnsi="Arial" w:cs="Arial"/>
                <w:color w:val="000000"/>
                <w:lang w:eastAsia="es-CO"/>
              </w:rPr>
            </w:pPr>
            <w:proofErr w:type="spellStart"/>
            <w:r w:rsidRPr="002F0AC5">
              <w:rPr>
                <w:rFonts w:ascii="Arial" w:eastAsia="Times New Roman" w:hAnsi="Arial" w:cs="Arial"/>
                <w:color w:val="000000"/>
                <w:lang w:eastAsia="es-CO"/>
              </w:rPr>
              <w:t>Atazanavir</w:t>
            </w:r>
            <w:proofErr w:type="spellEnd"/>
            <w:r w:rsidRPr="002F0AC5">
              <w:rPr>
                <w:rFonts w:ascii="Arial" w:eastAsia="Times New Roman" w:hAnsi="Arial" w:cs="Arial"/>
                <w:color w:val="000000"/>
                <w:lang w:eastAsia="es-CO"/>
              </w:rPr>
              <w:t xml:space="preserve"> más</w:t>
            </w:r>
            <w:r w:rsidRPr="002F0AC5">
              <w:rPr>
                <w:rFonts w:ascii="Arial" w:eastAsia="Times New Roman" w:hAnsi="Arial" w:cs="Arial"/>
                <w:color w:val="000000"/>
                <w:lang w:eastAsia="es-CO"/>
              </w:rPr>
              <w:br/>
            </w:r>
            <w:proofErr w:type="spellStart"/>
            <w:r w:rsidRPr="002F0AC5">
              <w:rPr>
                <w:rFonts w:ascii="Arial" w:eastAsia="Times New Roman" w:hAnsi="Arial" w:cs="Arial"/>
                <w:color w:val="000000"/>
                <w:lang w:eastAsia="es-CO"/>
              </w:rPr>
              <w:t>ritonavir</w:t>
            </w:r>
            <w:proofErr w:type="spellEnd"/>
            <w:r w:rsidRPr="002F0AC5">
              <w:rPr>
                <w:rFonts w:ascii="Arial" w:eastAsia="Times New Roman" w:hAnsi="Arial" w:cs="Arial"/>
                <w:color w:val="000000"/>
                <w:lang w:eastAsia="es-CO"/>
              </w:rPr>
              <w:t xml:space="preserve"> (ATV /</w:t>
            </w:r>
            <w:r w:rsidRPr="002F0AC5">
              <w:rPr>
                <w:rFonts w:ascii="Arial" w:eastAsia="Times New Roman" w:hAnsi="Arial" w:cs="Arial"/>
                <w:color w:val="000000"/>
                <w:lang w:eastAsia="es-CO"/>
              </w:rPr>
              <w:br/>
              <w:t>r)</w:t>
            </w:r>
          </w:p>
        </w:tc>
        <w:tc>
          <w:tcPr>
            <w:tcW w:w="2268" w:type="dxa"/>
            <w:tcBorders>
              <w:top w:val="nil"/>
              <w:left w:val="nil"/>
              <w:bottom w:val="single" w:sz="4" w:space="0" w:color="auto"/>
              <w:right w:val="single" w:sz="4" w:space="0" w:color="auto"/>
            </w:tcBorders>
            <w:shd w:val="clear" w:color="auto" w:fill="auto"/>
            <w:vAlign w:val="center"/>
            <w:hideMark/>
          </w:tcPr>
          <w:p w14:paraId="4DD775B7"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Anormalidades del electrocardiograma con prolongación del intervalo PR, ictericia por </w:t>
            </w:r>
            <w:proofErr w:type="spellStart"/>
            <w:r w:rsidRPr="002F0AC5">
              <w:rPr>
                <w:rFonts w:ascii="Arial" w:eastAsia="Times New Roman" w:hAnsi="Arial" w:cs="Arial"/>
                <w:color w:val="000000"/>
                <w:lang w:eastAsia="es-CO"/>
              </w:rPr>
              <w:t>hiper-bilirrubinemia</w:t>
            </w:r>
            <w:proofErr w:type="spellEnd"/>
            <w:r w:rsidRPr="002F0AC5">
              <w:rPr>
                <w:rFonts w:ascii="Arial" w:eastAsia="Times New Roman" w:hAnsi="Arial" w:cs="Arial"/>
                <w:color w:val="000000"/>
                <w:lang w:eastAsia="es-CO"/>
              </w:rPr>
              <w:t xml:space="preserve"> indirecta.</w:t>
            </w:r>
          </w:p>
        </w:tc>
        <w:tc>
          <w:tcPr>
            <w:tcW w:w="2808" w:type="dxa"/>
            <w:tcBorders>
              <w:top w:val="nil"/>
              <w:left w:val="nil"/>
              <w:bottom w:val="single" w:sz="4" w:space="0" w:color="auto"/>
              <w:right w:val="single" w:sz="4" w:space="0" w:color="auto"/>
            </w:tcBorders>
            <w:shd w:val="clear" w:color="auto" w:fill="auto"/>
            <w:vAlign w:val="center"/>
            <w:hideMark/>
          </w:tcPr>
          <w:p w14:paraId="5DCBD9FA"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Enfermedad preexistente de la conducción cardiaca. Uso concomitante de otros medicamentos que prolonguen el intervalo PR. Hepatopatía preexistente como PR. Hepatopatía preexistente como medicamentos hepatotóxicos.</w:t>
            </w:r>
          </w:p>
        </w:tc>
        <w:tc>
          <w:tcPr>
            <w:tcW w:w="2133" w:type="dxa"/>
            <w:tcBorders>
              <w:top w:val="nil"/>
              <w:left w:val="nil"/>
              <w:bottom w:val="single" w:sz="4" w:space="0" w:color="auto"/>
              <w:right w:val="single" w:sz="4" w:space="0" w:color="auto"/>
            </w:tcBorders>
            <w:shd w:val="clear" w:color="auto" w:fill="auto"/>
            <w:vAlign w:val="center"/>
            <w:hideMark/>
          </w:tcPr>
          <w:p w14:paraId="70762642"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Considerar </w:t>
            </w:r>
            <w:proofErr w:type="spellStart"/>
            <w:r w:rsidRPr="002F0AC5">
              <w:rPr>
                <w:rFonts w:ascii="Arial" w:eastAsia="Times New Roman" w:hAnsi="Arial" w:cs="Arial"/>
                <w:color w:val="000000"/>
                <w:lang w:eastAsia="es-CO"/>
              </w:rPr>
              <w:t>Darunavir</w:t>
            </w:r>
            <w:proofErr w:type="spellEnd"/>
            <w:r w:rsidRPr="002F0AC5">
              <w:rPr>
                <w:rFonts w:ascii="Arial" w:eastAsia="Times New Roman" w:hAnsi="Arial" w:cs="Arial"/>
                <w:color w:val="000000"/>
                <w:lang w:eastAsia="es-CO"/>
              </w:rPr>
              <w:t xml:space="preserve"> (DRV / r) o </w:t>
            </w:r>
            <w:proofErr w:type="spellStart"/>
            <w:r w:rsidRPr="002F0AC5">
              <w:rPr>
                <w:rFonts w:ascii="Arial" w:eastAsia="Times New Roman" w:hAnsi="Arial" w:cs="Arial"/>
                <w:color w:val="000000"/>
                <w:lang w:eastAsia="es-CO"/>
              </w:rPr>
              <w:t>Lopinavir</w:t>
            </w:r>
            <w:proofErr w:type="spellEnd"/>
            <w:r w:rsidRPr="002F0AC5">
              <w:rPr>
                <w:rFonts w:ascii="Arial" w:eastAsia="Times New Roman" w:hAnsi="Arial" w:cs="Arial"/>
                <w:color w:val="000000"/>
                <w:lang w:eastAsia="es-CO"/>
              </w:rPr>
              <w:t>/r (LPV/r) o cambio de clase</w:t>
            </w:r>
          </w:p>
        </w:tc>
      </w:tr>
      <w:tr w:rsidR="00CE3180" w:rsidRPr="002F0AC5" w14:paraId="4BF70600" w14:textId="77777777" w:rsidTr="00FB4616">
        <w:trPr>
          <w:trHeight w:val="600"/>
        </w:trPr>
        <w:tc>
          <w:tcPr>
            <w:tcW w:w="1905" w:type="dxa"/>
            <w:vMerge/>
            <w:tcBorders>
              <w:top w:val="nil"/>
              <w:left w:val="single" w:sz="4" w:space="0" w:color="auto"/>
              <w:bottom w:val="single" w:sz="4" w:space="0" w:color="000000"/>
              <w:right w:val="single" w:sz="4" w:space="0" w:color="auto"/>
            </w:tcBorders>
            <w:vAlign w:val="center"/>
            <w:hideMark/>
          </w:tcPr>
          <w:p w14:paraId="34B032D7" w14:textId="77777777" w:rsidR="00CE3180" w:rsidRPr="002F0AC5" w:rsidRDefault="00CE3180" w:rsidP="00CE3180">
            <w:pPr>
              <w:spacing w:after="0" w:line="240" w:lineRule="auto"/>
              <w:rPr>
                <w:rFonts w:ascii="Arial" w:eastAsia="Times New Roman" w:hAnsi="Arial" w:cs="Arial"/>
                <w:color w:val="000000"/>
                <w:lang w:eastAsia="es-CO"/>
              </w:rPr>
            </w:pPr>
          </w:p>
        </w:tc>
        <w:tc>
          <w:tcPr>
            <w:tcW w:w="2268" w:type="dxa"/>
            <w:tcBorders>
              <w:top w:val="nil"/>
              <w:left w:val="nil"/>
              <w:bottom w:val="single" w:sz="4" w:space="0" w:color="auto"/>
              <w:right w:val="single" w:sz="4" w:space="0" w:color="auto"/>
            </w:tcBorders>
            <w:shd w:val="clear" w:color="auto" w:fill="auto"/>
            <w:noWrap/>
            <w:vAlign w:val="center"/>
            <w:hideMark/>
          </w:tcPr>
          <w:p w14:paraId="669B4156"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Nefrolitiasis o colelitiasis</w:t>
            </w:r>
          </w:p>
        </w:tc>
        <w:tc>
          <w:tcPr>
            <w:tcW w:w="2808" w:type="dxa"/>
            <w:tcBorders>
              <w:top w:val="nil"/>
              <w:left w:val="nil"/>
              <w:bottom w:val="single" w:sz="4" w:space="0" w:color="auto"/>
              <w:right w:val="single" w:sz="4" w:space="0" w:color="auto"/>
            </w:tcBorders>
            <w:shd w:val="clear" w:color="auto" w:fill="auto"/>
            <w:vAlign w:val="center"/>
            <w:hideMark/>
          </w:tcPr>
          <w:p w14:paraId="6D267B46"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Antecedentes de nefrolitiasis o colelitiasis</w:t>
            </w:r>
          </w:p>
        </w:tc>
        <w:tc>
          <w:tcPr>
            <w:tcW w:w="2133" w:type="dxa"/>
            <w:tcBorders>
              <w:top w:val="nil"/>
              <w:left w:val="nil"/>
              <w:bottom w:val="single" w:sz="4" w:space="0" w:color="auto"/>
              <w:right w:val="single" w:sz="4" w:space="0" w:color="auto"/>
            </w:tcBorders>
            <w:shd w:val="clear" w:color="auto" w:fill="auto"/>
            <w:vAlign w:val="center"/>
            <w:hideMark/>
          </w:tcPr>
          <w:p w14:paraId="78541002"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Hidratación acuciosa. Considerar </w:t>
            </w:r>
            <w:proofErr w:type="spellStart"/>
            <w:r w:rsidRPr="002F0AC5">
              <w:rPr>
                <w:rFonts w:ascii="Arial" w:eastAsia="Times New Roman" w:hAnsi="Arial" w:cs="Arial"/>
                <w:color w:val="000000"/>
                <w:lang w:eastAsia="es-CO"/>
              </w:rPr>
              <w:t>Darunavir</w:t>
            </w:r>
            <w:proofErr w:type="spellEnd"/>
            <w:r w:rsidRPr="002F0AC5">
              <w:rPr>
                <w:rFonts w:ascii="Arial" w:eastAsia="Times New Roman" w:hAnsi="Arial" w:cs="Arial"/>
                <w:color w:val="000000"/>
                <w:lang w:eastAsia="es-CO"/>
              </w:rPr>
              <w:t xml:space="preserve"> (DRV / r) o </w:t>
            </w:r>
            <w:proofErr w:type="spellStart"/>
            <w:r w:rsidRPr="002F0AC5">
              <w:rPr>
                <w:rFonts w:ascii="Arial" w:eastAsia="Times New Roman" w:hAnsi="Arial" w:cs="Arial"/>
                <w:color w:val="000000"/>
                <w:lang w:eastAsia="es-CO"/>
              </w:rPr>
              <w:t>Lopinavir</w:t>
            </w:r>
            <w:proofErr w:type="spellEnd"/>
            <w:r w:rsidRPr="002F0AC5">
              <w:rPr>
                <w:rFonts w:ascii="Arial" w:eastAsia="Times New Roman" w:hAnsi="Arial" w:cs="Arial"/>
                <w:color w:val="000000"/>
                <w:lang w:eastAsia="es-CO"/>
              </w:rPr>
              <w:t>/r (LPV/r) o cambio de clase</w:t>
            </w:r>
          </w:p>
        </w:tc>
      </w:tr>
      <w:tr w:rsidR="00CE3180" w:rsidRPr="002F0AC5" w14:paraId="3E896357" w14:textId="77777777" w:rsidTr="00FB4616">
        <w:trPr>
          <w:trHeight w:val="1200"/>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EAE0FC8" w14:textId="77777777" w:rsidR="00CE3180" w:rsidRPr="002F0AC5" w:rsidRDefault="00CE3180" w:rsidP="00CE3180">
            <w:pPr>
              <w:spacing w:after="0" w:line="240" w:lineRule="auto"/>
              <w:rPr>
                <w:rFonts w:ascii="Arial" w:eastAsia="Times New Roman" w:hAnsi="Arial" w:cs="Arial"/>
                <w:color w:val="000000"/>
                <w:lang w:eastAsia="es-CO"/>
              </w:rPr>
            </w:pPr>
            <w:proofErr w:type="spellStart"/>
            <w:r w:rsidRPr="002F0AC5">
              <w:rPr>
                <w:rFonts w:ascii="Arial" w:eastAsia="Times New Roman" w:hAnsi="Arial" w:cs="Arial"/>
                <w:color w:val="000000"/>
                <w:lang w:eastAsia="es-CO"/>
              </w:rPr>
              <w:t>Darunavir</w:t>
            </w:r>
            <w:proofErr w:type="spellEnd"/>
            <w:r w:rsidRPr="002F0AC5">
              <w:rPr>
                <w:rFonts w:ascii="Arial" w:eastAsia="Times New Roman" w:hAnsi="Arial" w:cs="Arial"/>
                <w:color w:val="000000"/>
                <w:lang w:eastAsia="es-CO"/>
              </w:rPr>
              <w:t xml:space="preserve"> más </w:t>
            </w:r>
            <w:proofErr w:type="spellStart"/>
            <w:r w:rsidRPr="002F0AC5">
              <w:rPr>
                <w:rFonts w:ascii="Arial" w:eastAsia="Times New Roman" w:hAnsi="Arial" w:cs="Arial"/>
                <w:color w:val="000000"/>
                <w:lang w:eastAsia="es-CO"/>
              </w:rPr>
              <w:t>ritonavir</w:t>
            </w:r>
            <w:proofErr w:type="spellEnd"/>
            <w:r w:rsidRPr="002F0AC5">
              <w:rPr>
                <w:rFonts w:ascii="Arial" w:eastAsia="Times New Roman" w:hAnsi="Arial" w:cs="Arial"/>
                <w:color w:val="000000"/>
                <w:lang w:eastAsia="es-CO"/>
              </w:rPr>
              <w:t xml:space="preserve"> (DRV/r)</w:t>
            </w:r>
          </w:p>
        </w:tc>
        <w:tc>
          <w:tcPr>
            <w:tcW w:w="2268" w:type="dxa"/>
            <w:tcBorders>
              <w:top w:val="nil"/>
              <w:left w:val="nil"/>
              <w:bottom w:val="single" w:sz="4" w:space="0" w:color="auto"/>
              <w:right w:val="single" w:sz="4" w:space="0" w:color="auto"/>
            </w:tcBorders>
            <w:shd w:val="clear" w:color="auto" w:fill="auto"/>
            <w:noWrap/>
            <w:vAlign w:val="center"/>
            <w:hideMark/>
          </w:tcPr>
          <w:p w14:paraId="56A04711"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Brote cutáneo</w:t>
            </w:r>
          </w:p>
        </w:tc>
        <w:tc>
          <w:tcPr>
            <w:tcW w:w="2808" w:type="dxa"/>
            <w:tcBorders>
              <w:top w:val="nil"/>
              <w:left w:val="nil"/>
              <w:bottom w:val="single" w:sz="4" w:space="0" w:color="auto"/>
              <w:right w:val="single" w:sz="4" w:space="0" w:color="auto"/>
            </w:tcBorders>
            <w:shd w:val="clear" w:color="auto" w:fill="auto"/>
            <w:noWrap/>
            <w:vAlign w:val="center"/>
            <w:hideMark/>
          </w:tcPr>
          <w:p w14:paraId="5DD34817"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Alergia a sulfonamidas</w:t>
            </w:r>
          </w:p>
        </w:tc>
        <w:tc>
          <w:tcPr>
            <w:tcW w:w="2133" w:type="dxa"/>
            <w:tcBorders>
              <w:top w:val="nil"/>
              <w:left w:val="nil"/>
              <w:bottom w:val="single" w:sz="4" w:space="0" w:color="auto"/>
              <w:right w:val="single" w:sz="4" w:space="0" w:color="auto"/>
            </w:tcBorders>
            <w:shd w:val="clear" w:color="auto" w:fill="auto"/>
            <w:vAlign w:val="center"/>
            <w:hideMark/>
          </w:tcPr>
          <w:p w14:paraId="0D81904C"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Considerar cambio a otro inhibidor de la proteasa excepto FPV/r.</w:t>
            </w:r>
          </w:p>
        </w:tc>
      </w:tr>
      <w:tr w:rsidR="00CE3180" w:rsidRPr="002F0AC5" w14:paraId="2D3F7B0D" w14:textId="77777777" w:rsidTr="00FB4616">
        <w:trPr>
          <w:trHeight w:val="1230"/>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7B4CF22" w14:textId="77777777" w:rsidR="00CE3180" w:rsidRPr="002F0AC5" w:rsidRDefault="00CE3180" w:rsidP="00CE3180">
            <w:pPr>
              <w:spacing w:after="0" w:line="240" w:lineRule="auto"/>
              <w:rPr>
                <w:rFonts w:ascii="Arial" w:eastAsia="Times New Roman" w:hAnsi="Arial" w:cs="Arial"/>
                <w:color w:val="000000"/>
                <w:lang w:eastAsia="es-CO"/>
              </w:rPr>
            </w:pPr>
            <w:proofErr w:type="spellStart"/>
            <w:r w:rsidRPr="002F0AC5">
              <w:rPr>
                <w:rFonts w:ascii="Arial" w:eastAsia="Times New Roman" w:hAnsi="Arial" w:cs="Arial"/>
                <w:color w:val="000000"/>
                <w:lang w:eastAsia="es-CO"/>
              </w:rPr>
              <w:t>Dolutegravir</w:t>
            </w:r>
            <w:proofErr w:type="spellEnd"/>
            <w:r w:rsidRPr="002F0AC5">
              <w:rPr>
                <w:rFonts w:ascii="Arial" w:eastAsia="Times New Roman" w:hAnsi="Arial" w:cs="Arial"/>
                <w:color w:val="000000"/>
                <w:lang w:eastAsia="es-CO"/>
              </w:rPr>
              <w:t xml:space="preserve"> más </w:t>
            </w:r>
            <w:proofErr w:type="spellStart"/>
            <w:r w:rsidRPr="002F0AC5">
              <w:rPr>
                <w:rFonts w:ascii="Arial" w:eastAsia="Times New Roman" w:hAnsi="Arial" w:cs="Arial"/>
                <w:color w:val="000000"/>
                <w:lang w:eastAsia="es-CO"/>
              </w:rPr>
              <w:t>ritonavir</w:t>
            </w:r>
            <w:proofErr w:type="spellEnd"/>
            <w:r w:rsidRPr="002F0AC5">
              <w:rPr>
                <w:rFonts w:ascii="Arial" w:eastAsia="Times New Roman" w:hAnsi="Arial" w:cs="Arial"/>
                <w:color w:val="000000"/>
                <w:lang w:eastAsia="es-CO"/>
              </w:rPr>
              <w:t xml:space="preserve"> (DTV/r)</w:t>
            </w:r>
          </w:p>
        </w:tc>
        <w:tc>
          <w:tcPr>
            <w:tcW w:w="2268" w:type="dxa"/>
            <w:tcBorders>
              <w:top w:val="nil"/>
              <w:left w:val="nil"/>
              <w:bottom w:val="single" w:sz="4" w:space="0" w:color="auto"/>
              <w:right w:val="single" w:sz="4" w:space="0" w:color="auto"/>
            </w:tcBorders>
            <w:shd w:val="clear" w:color="auto" w:fill="auto"/>
            <w:vAlign w:val="center"/>
            <w:hideMark/>
          </w:tcPr>
          <w:p w14:paraId="2E7B0C9E"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Reacción alérgica y hepatotoxicidad.</w:t>
            </w:r>
          </w:p>
        </w:tc>
        <w:tc>
          <w:tcPr>
            <w:tcW w:w="2808" w:type="dxa"/>
            <w:tcBorders>
              <w:top w:val="nil"/>
              <w:left w:val="nil"/>
              <w:bottom w:val="single" w:sz="4" w:space="0" w:color="auto"/>
              <w:right w:val="single" w:sz="4" w:space="0" w:color="auto"/>
            </w:tcBorders>
            <w:shd w:val="clear" w:color="auto" w:fill="auto"/>
            <w:vAlign w:val="center"/>
            <w:hideMark/>
          </w:tcPr>
          <w:p w14:paraId="419FC4E4"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Hepatopatía </w:t>
            </w:r>
            <w:proofErr w:type="spellStart"/>
            <w:r w:rsidRPr="002F0AC5">
              <w:rPr>
                <w:rFonts w:ascii="Arial" w:eastAsia="Times New Roman" w:hAnsi="Arial" w:cs="Arial"/>
                <w:color w:val="000000"/>
                <w:lang w:eastAsia="es-CO"/>
              </w:rPr>
              <w:t>pre-existente</w:t>
            </w:r>
            <w:proofErr w:type="spellEnd"/>
            <w:r w:rsidRPr="002F0AC5">
              <w:rPr>
                <w:rFonts w:ascii="Arial" w:eastAsia="Times New Roman" w:hAnsi="Arial" w:cs="Arial"/>
                <w:color w:val="000000"/>
                <w:lang w:eastAsia="es-CO"/>
              </w:rPr>
              <w:t xml:space="preserve"> como Hepatitis B o C. Uso concomitante de medicamentos </w:t>
            </w:r>
          </w:p>
        </w:tc>
        <w:tc>
          <w:tcPr>
            <w:tcW w:w="2133" w:type="dxa"/>
            <w:tcBorders>
              <w:top w:val="nil"/>
              <w:left w:val="nil"/>
              <w:bottom w:val="single" w:sz="4" w:space="0" w:color="auto"/>
              <w:right w:val="single" w:sz="4" w:space="0" w:color="auto"/>
            </w:tcBorders>
            <w:shd w:val="clear" w:color="auto" w:fill="auto"/>
            <w:vAlign w:val="center"/>
            <w:hideMark/>
          </w:tcPr>
          <w:p w14:paraId="29514136"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Considerar </w:t>
            </w:r>
            <w:proofErr w:type="spellStart"/>
            <w:r w:rsidRPr="002F0AC5">
              <w:rPr>
                <w:rFonts w:ascii="Arial" w:eastAsia="Times New Roman" w:hAnsi="Arial" w:cs="Arial"/>
                <w:color w:val="000000"/>
                <w:lang w:eastAsia="es-CO"/>
              </w:rPr>
              <w:t>Darunavir</w:t>
            </w:r>
            <w:proofErr w:type="spellEnd"/>
            <w:r w:rsidRPr="002F0AC5">
              <w:rPr>
                <w:rFonts w:ascii="Arial" w:eastAsia="Times New Roman" w:hAnsi="Arial" w:cs="Arial"/>
                <w:color w:val="000000"/>
                <w:lang w:eastAsia="es-CO"/>
              </w:rPr>
              <w:t xml:space="preserve"> (DRV / r) o </w:t>
            </w:r>
            <w:proofErr w:type="spellStart"/>
            <w:r w:rsidRPr="002F0AC5">
              <w:rPr>
                <w:rFonts w:ascii="Arial" w:eastAsia="Times New Roman" w:hAnsi="Arial" w:cs="Arial"/>
                <w:color w:val="000000"/>
                <w:lang w:eastAsia="es-CO"/>
              </w:rPr>
              <w:t>Lopinavir</w:t>
            </w:r>
            <w:proofErr w:type="spellEnd"/>
            <w:r w:rsidRPr="002F0AC5">
              <w:rPr>
                <w:rFonts w:ascii="Arial" w:eastAsia="Times New Roman" w:hAnsi="Arial" w:cs="Arial"/>
                <w:color w:val="000000"/>
                <w:lang w:eastAsia="es-CO"/>
              </w:rPr>
              <w:t>/r (LPV/r) o cambio de clase</w:t>
            </w:r>
          </w:p>
        </w:tc>
      </w:tr>
      <w:tr w:rsidR="00CE3180" w:rsidRPr="002F0AC5" w14:paraId="136DE67D" w14:textId="77777777" w:rsidTr="00FB4616">
        <w:trPr>
          <w:trHeight w:val="93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776071AB" w14:textId="77777777" w:rsidR="00CE3180" w:rsidRPr="002F0AC5" w:rsidRDefault="00CE3180" w:rsidP="00CE3180">
            <w:pPr>
              <w:spacing w:after="0" w:line="240" w:lineRule="auto"/>
              <w:rPr>
                <w:rFonts w:ascii="Arial" w:eastAsia="Times New Roman" w:hAnsi="Arial" w:cs="Arial"/>
                <w:color w:val="000000"/>
                <w:lang w:eastAsia="es-CO"/>
              </w:rPr>
            </w:pPr>
            <w:proofErr w:type="spellStart"/>
            <w:r w:rsidRPr="002F0AC5">
              <w:rPr>
                <w:rFonts w:ascii="Arial" w:eastAsia="Times New Roman" w:hAnsi="Arial" w:cs="Arial"/>
                <w:color w:val="000000"/>
                <w:lang w:eastAsia="es-CO"/>
              </w:rPr>
              <w:t>Raltegravir</w:t>
            </w:r>
            <w:proofErr w:type="spellEnd"/>
            <w:r w:rsidRPr="002F0AC5">
              <w:rPr>
                <w:rFonts w:ascii="Arial" w:eastAsia="Times New Roman" w:hAnsi="Arial" w:cs="Arial"/>
                <w:color w:val="000000"/>
                <w:lang w:eastAsia="es-CO"/>
              </w:rPr>
              <w:t xml:space="preserve"> más </w:t>
            </w:r>
            <w:proofErr w:type="spellStart"/>
            <w:r w:rsidRPr="002F0AC5">
              <w:rPr>
                <w:rFonts w:ascii="Arial" w:eastAsia="Times New Roman" w:hAnsi="Arial" w:cs="Arial"/>
                <w:color w:val="000000"/>
                <w:lang w:eastAsia="es-CO"/>
              </w:rPr>
              <w:t>ritonavir</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49F5A60E"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Rabdomiólisis, miopatía, mialgias.</w:t>
            </w:r>
          </w:p>
        </w:tc>
        <w:tc>
          <w:tcPr>
            <w:tcW w:w="2808" w:type="dxa"/>
            <w:tcBorders>
              <w:top w:val="nil"/>
              <w:left w:val="nil"/>
              <w:bottom w:val="single" w:sz="4" w:space="0" w:color="auto"/>
              <w:right w:val="single" w:sz="4" w:space="0" w:color="auto"/>
            </w:tcBorders>
            <w:shd w:val="clear" w:color="auto" w:fill="auto"/>
            <w:vAlign w:val="center"/>
            <w:hideMark/>
          </w:tcPr>
          <w:p w14:paraId="6FF04784"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Uso concomitante de medicamentos que causen rabdomiólisis</w:t>
            </w:r>
          </w:p>
        </w:tc>
        <w:tc>
          <w:tcPr>
            <w:tcW w:w="2133" w:type="dxa"/>
            <w:tcBorders>
              <w:top w:val="nil"/>
              <w:left w:val="nil"/>
              <w:bottom w:val="single" w:sz="4" w:space="0" w:color="auto"/>
              <w:right w:val="single" w:sz="4" w:space="0" w:color="auto"/>
            </w:tcBorders>
            <w:shd w:val="clear" w:color="auto" w:fill="auto"/>
            <w:vAlign w:val="center"/>
            <w:hideMark/>
          </w:tcPr>
          <w:p w14:paraId="6FF48A63"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Considerar cambio a otras clases como IP/r, INNTR o MVC</w:t>
            </w:r>
          </w:p>
        </w:tc>
      </w:tr>
      <w:tr w:rsidR="00CE3180" w:rsidRPr="002F0AC5" w14:paraId="598C460B" w14:textId="77777777" w:rsidTr="00FB4616">
        <w:trPr>
          <w:trHeight w:val="228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7A2FF9E3" w14:textId="77777777" w:rsidR="00CE3180" w:rsidRPr="002F0AC5" w:rsidRDefault="00CE3180" w:rsidP="00CE3180">
            <w:pPr>
              <w:spacing w:after="0" w:line="240" w:lineRule="auto"/>
              <w:rPr>
                <w:rFonts w:ascii="Arial" w:eastAsia="Times New Roman" w:hAnsi="Arial" w:cs="Arial"/>
                <w:color w:val="000000"/>
                <w:lang w:eastAsia="es-CO"/>
              </w:rPr>
            </w:pPr>
            <w:proofErr w:type="spellStart"/>
            <w:r w:rsidRPr="002F0AC5">
              <w:rPr>
                <w:rFonts w:ascii="Arial" w:eastAsia="Times New Roman" w:hAnsi="Arial" w:cs="Arial"/>
                <w:color w:val="000000"/>
                <w:lang w:eastAsia="es-CO"/>
              </w:rPr>
              <w:t>Ritonavir</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D926750"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Anormalidades del electrocardiograma con prolongación del intervalo PR, ictericia por </w:t>
            </w:r>
            <w:proofErr w:type="spellStart"/>
            <w:r w:rsidRPr="002F0AC5">
              <w:rPr>
                <w:rFonts w:ascii="Arial" w:eastAsia="Times New Roman" w:hAnsi="Arial" w:cs="Arial"/>
                <w:color w:val="000000"/>
                <w:lang w:eastAsia="es-CO"/>
              </w:rPr>
              <w:t>hiper-bilirrubinemia</w:t>
            </w:r>
            <w:proofErr w:type="spellEnd"/>
            <w:r w:rsidRPr="002F0AC5">
              <w:rPr>
                <w:rFonts w:ascii="Arial" w:eastAsia="Times New Roman" w:hAnsi="Arial" w:cs="Arial"/>
                <w:color w:val="000000"/>
                <w:lang w:eastAsia="es-CO"/>
              </w:rPr>
              <w:t xml:space="preserve"> indirecta. Hepatotoxicidad</w:t>
            </w:r>
          </w:p>
        </w:tc>
        <w:tc>
          <w:tcPr>
            <w:tcW w:w="2808" w:type="dxa"/>
            <w:tcBorders>
              <w:top w:val="nil"/>
              <w:left w:val="nil"/>
              <w:bottom w:val="single" w:sz="4" w:space="0" w:color="auto"/>
              <w:right w:val="single" w:sz="4" w:space="0" w:color="auto"/>
            </w:tcBorders>
            <w:shd w:val="clear" w:color="auto" w:fill="auto"/>
            <w:vAlign w:val="center"/>
            <w:hideMark/>
          </w:tcPr>
          <w:p w14:paraId="149226A1" w14:textId="31A533EC"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cardiaca. Uso concomitante de otros medicamentos que prolonguen el intervalo PR. Hepatopatía preexistente como Hepatitis B o C. Uso concomitante </w:t>
            </w:r>
            <w:r w:rsidR="00FB4616" w:rsidRPr="002F0AC5">
              <w:rPr>
                <w:rFonts w:ascii="Arial" w:eastAsia="Times New Roman" w:hAnsi="Arial" w:cs="Arial"/>
                <w:color w:val="000000"/>
                <w:lang w:eastAsia="es-CO"/>
              </w:rPr>
              <w:t>de medicamentos</w:t>
            </w:r>
            <w:r w:rsidRPr="002F0AC5">
              <w:rPr>
                <w:rFonts w:ascii="Arial" w:eastAsia="Times New Roman" w:hAnsi="Arial" w:cs="Arial"/>
                <w:color w:val="000000"/>
                <w:lang w:eastAsia="es-CO"/>
              </w:rPr>
              <w:t xml:space="preserve"> hepatotóxicos.</w:t>
            </w:r>
          </w:p>
        </w:tc>
        <w:tc>
          <w:tcPr>
            <w:tcW w:w="2133" w:type="dxa"/>
            <w:tcBorders>
              <w:top w:val="nil"/>
              <w:left w:val="nil"/>
              <w:bottom w:val="single" w:sz="4" w:space="0" w:color="auto"/>
              <w:right w:val="single" w:sz="4" w:space="0" w:color="auto"/>
            </w:tcBorders>
            <w:shd w:val="clear" w:color="auto" w:fill="auto"/>
            <w:vAlign w:val="center"/>
            <w:hideMark/>
          </w:tcPr>
          <w:p w14:paraId="45E0BBAA" w14:textId="77777777" w:rsidR="00CE3180" w:rsidRPr="002F0AC5" w:rsidRDefault="00CE3180" w:rsidP="00FB4616">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Considerar </w:t>
            </w:r>
            <w:proofErr w:type="spellStart"/>
            <w:r w:rsidRPr="002F0AC5">
              <w:rPr>
                <w:rFonts w:ascii="Arial" w:eastAsia="Times New Roman" w:hAnsi="Arial" w:cs="Arial"/>
                <w:color w:val="000000"/>
                <w:lang w:eastAsia="es-CO"/>
              </w:rPr>
              <w:t>Darunavir</w:t>
            </w:r>
            <w:proofErr w:type="spellEnd"/>
            <w:r w:rsidRPr="002F0AC5">
              <w:rPr>
                <w:rFonts w:ascii="Arial" w:eastAsia="Times New Roman" w:hAnsi="Arial" w:cs="Arial"/>
                <w:color w:val="000000"/>
                <w:lang w:eastAsia="es-CO"/>
              </w:rPr>
              <w:t xml:space="preserve"> (DRV / r) o </w:t>
            </w:r>
            <w:proofErr w:type="spellStart"/>
            <w:r w:rsidRPr="002F0AC5">
              <w:rPr>
                <w:rFonts w:ascii="Arial" w:eastAsia="Times New Roman" w:hAnsi="Arial" w:cs="Arial"/>
                <w:color w:val="000000"/>
                <w:lang w:eastAsia="es-CO"/>
              </w:rPr>
              <w:t>Lopinavir</w:t>
            </w:r>
            <w:proofErr w:type="spellEnd"/>
            <w:r w:rsidRPr="002F0AC5">
              <w:rPr>
                <w:rFonts w:ascii="Arial" w:eastAsia="Times New Roman" w:hAnsi="Arial" w:cs="Arial"/>
                <w:color w:val="000000"/>
                <w:lang w:eastAsia="es-CO"/>
              </w:rPr>
              <w:t>/r (LPV/r) o cambio de clase.</w:t>
            </w:r>
          </w:p>
        </w:tc>
      </w:tr>
      <w:tr w:rsidR="00CE3180" w:rsidRPr="002F0AC5" w14:paraId="52C2683C" w14:textId="77777777" w:rsidTr="00FB4616">
        <w:trPr>
          <w:trHeight w:val="1500"/>
        </w:trPr>
        <w:tc>
          <w:tcPr>
            <w:tcW w:w="19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7F34D" w14:textId="77777777" w:rsidR="00CE3180" w:rsidRPr="002F0AC5" w:rsidRDefault="00CE3180" w:rsidP="00CE3180">
            <w:pPr>
              <w:spacing w:after="0" w:line="240" w:lineRule="auto"/>
              <w:rPr>
                <w:rFonts w:ascii="Arial" w:eastAsia="Times New Roman" w:hAnsi="Arial" w:cs="Arial"/>
                <w:color w:val="000000"/>
                <w:lang w:eastAsia="es-CO"/>
              </w:rPr>
            </w:pPr>
            <w:proofErr w:type="spellStart"/>
            <w:r w:rsidRPr="002F0AC5">
              <w:rPr>
                <w:rFonts w:ascii="Arial" w:eastAsia="Times New Roman" w:hAnsi="Arial" w:cs="Arial"/>
                <w:color w:val="000000"/>
                <w:lang w:eastAsia="es-CO"/>
              </w:rPr>
              <w:t>Tenofovir</w:t>
            </w:r>
            <w:proofErr w:type="spellEnd"/>
            <w:r w:rsidRPr="002F0AC5">
              <w:rPr>
                <w:rFonts w:ascii="Arial" w:eastAsia="Times New Roman" w:hAnsi="Arial" w:cs="Arial"/>
                <w:color w:val="000000"/>
                <w:lang w:eastAsia="es-CO"/>
              </w:rPr>
              <w:t xml:space="preserve"> (TDF)</w:t>
            </w:r>
          </w:p>
        </w:tc>
        <w:tc>
          <w:tcPr>
            <w:tcW w:w="2268" w:type="dxa"/>
            <w:tcBorders>
              <w:top w:val="nil"/>
              <w:left w:val="nil"/>
              <w:bottom w:val="single" w:sz="4" w:space="0" w:color="auto"/>
              <w:right w:val="single" w:sz="4" w:space="0" w:color="auto"/>
            </w:tcBorders>
            <w:shd w:val="clear" w:color="auto" w:fill="auto"/>
            <w:vAlign w:val="center"/>
            <w:hideMark/>
          </w:tcPr>
          <w:p w14:paraId="2FEDD2F9" w14:textId="77777777" w:rsidR="00CE3180" w:rsidRPr="002F0AC5" w:rsidRDefault="00CE3180" w:rsidP="00CE3180">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Disfunción tubular renal, Síndrome de Fanconi, aumento de la creatinina sérica, proteinuria, glucosuria</w:t>
            </w:r>
          </w:p>
        </w:tc>
        <w:tc>
          <w:tcPr>
            <w:tcW w:w="2808" w:type="dxa"/>
            <w:tcBorders>
              <w:top w:val="nil"/>
              <w:left w:val="nil"/>
              <w:bottom w:val="single" w:sz="4" w:space="0" w:color="auto"/>
              <w:right w:val="single" w:sz="4" w:space="0" w:color="auto"/>
            </w:tcBorders>
            <w:shd w:val="clear" w:color="auto" w:fill="auto"/>
            <w:vAlign w:val="center"/>
            <w:hideMark/>
          </w:tcPr>
          <w:p w14:paraId="51C379FD" w14:textId="77777777" w:rsidR="00CE3180" w:rsidRPr="002F0AC5" w:rsidRDefault="00CE3180" w:rsidP="00CE3180">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Enfermedad renal subyacente, edad mayor de 60 años. IMC &gt; o = 18,5 o peso menor de 50 kg.</w:t>
            </w:r>
          </w:p>
        </w:tc>
        <w:tc>
          <w:tcPr>
            <w:tcW w:w="2133" w:type="dxa"/>
            <w:tcBorders>
              <w:top w:val="nil"/>
              <w:left w:val="nil"/>
              <w:bottom w:val="single" w:sz="4" w:space="0" w:color="auto"/>
              <w:right w:val="single" w:sz="4" w:space="0" w:color="auto"/>
            </w:tcBorders>
            <w:shd w:val="clear" w:color="auto" w:fill="auto"/>
            <w:vAlign w:val="center"/>
            <w:hideMark/>
          </w:tcPr>
          <w:p w14:paraId="532BCF74" w14:textId="77777777" w:rsidR="00CE3180" w:rsidRPr="002F0AC5" w:rsidRDefault="00CE3180" w:rsidP="00CE3180">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Vigilar la función renal de acuerdo con las recomendaciones. Sustituir el TDF.</w:t>
            </w:r>
          </w:p>
        </w:tc>
      </w:tr>
      <w:tr w:rsidR="00CE3180" w:rsidRPr="002F0AC5" w14:paraId="7A8381DE" w14:textId="77777777" w:rsidTr="00FB4616">
        <w:trPr>
          <w:trHeight w:val="1500"/>
        </w:trPr>
        <w:tc>
          <w:tcPr>
            <w:tcW w:w="1905" w:type="dxa"/>
            <w:vMerge/>
            <w:tcBorders>
              <w:top w:val="nil"/>
              <w:left w:val="single" w:sz="4" w:space="0" w:color="auto"/>
              <w:bottom w:val="single" w:sz="4" w:space="0" w:color="000000"/>
              <w:right w:val="single" w:sz="4" w:space="0" w:color="auto"/>
            </w:tcBorders>
            <w:vAlign w:val="center"/>
            <w:hideMark/>
          </w:tcPr>
          <w:p w14:paraId="0725B080" w14:textId="77777777" w:rsidR="00CE3180" w:rsidRPr="002F0AC5" w:rsidRDefault="00CE3180" w:rsidP="00CE3180">
            <w:pPr>
              <w:spacing w:after="0" w:line="240" w:lineRule="auto"/>
              <w:rPr>
                <w:rFonts w:ascii="Arial" w:eastAsia="Times New Roman" w:hAnsi="Arial" w:cs="Arial"/>
                <w:color w:val="000000"/>
                <w:lang w:eastAsia="es-CO"/>
              </w:rPr>
            </w:pPr>
          </w:p>
        </w:tc>
        <w:tc>
          <w:tcPr>
            <w:tcW w:w="2268" w:type="dxa"/>
            <w:tcBorders>
              <w:top w:val="nil"/>
              <w:left w:val="nil"/>
              <w:bottom w:val="single" w:sz="4" w:space="0" w:color="auto"/>
              <w:right w:val="single" w:sz="4" w:space="0" w:color="auto"/>
            </w:tcBorders>
            <w:shd w:val="clear" w:color="auto" w:fill="auto"/>
            <w:noWrap/>
            <w:vAlign w:val="center"/>
            <w:hideMark/>
          </w:tcPr>
          <w:p w14:paraId="4BF0C4CA" w14:textId="77777777" w:rsidR="00CE3180" w:rsidRPr="002F0AC5" w:rsidRDefault="00CE3180" w:rsidP="00CE3180">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Desmineralización ósea</w:t>
            </w:r>
          </w:p>
        </w:tc>
        <w:tc>
          <w:tcPr>
            <w:tcW w:w="2808" w:type="dxa"/>
            <w:tcBorders>
              <w:top w:val="nil"/>
              <w:left w:val="nil"/>
              <w:bottom w:val="single" w:sz="4" w:space="0" w:color="auto"/>
              <w:right w:val="single" w:sz="4" w:space="0" w:color="auto"/>
            </w:tcBorders>
            <w:shd w:val="clear" w:color="auto" w:fill="auto"/>
            <w:vAlign w:val="bottom"/>
            <w:hideMark/>
          </w:tcPr>
          <w:p w14:paraId="6EBA4C40" w14:textId="77777777" w:rsidR="00CE3180" w:rsidRPr="002F0AC5" w:rsidRDefault="00CE3180" w:rsidP="00CE3180">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 xml:space="preserve">Diabetes mellitus. Hipertensión no tratada. Osteoporosis previa. Uso concomitante de </w:t>
            </w:r>
            <w:proofErr w:type="spellStart"/>
            <w:r w:rsidRPr="002F0AC5">
              <w:rPr>
                <w:rFonts w:ascii="Arial" w:eastAsia="Times New Roman" w:hAnsi="Arial" w:cs="Arial"/>
                <w:color w:val="000000"/>
                <w:lang w:eastAsia="es-CO"/>
              </w:rPr>
              <w:t>Didanosina</w:t>
            </w:r>
            <w:proofErr w:type="spellEnd"/>
            <w:r w:rsidRPr="002F0AC5">
              <w:rPr>
                <w:rFonts w:ascii="Arial" w:eastAsia="Times New Roman" w:hAnsi="Arial" w:cs="Arial"/>
                <w:color w:val="000000"/>
                <w:lang w:eastAsia="es-CO"/>
              </w:rPr>
              <w:t xml:space="preserve"> y otros medicamentos nefrotóxicos o IP potenciados.</w:t>
            </w:r>
          </w:p>
        </w:tc>
        <w:tc>
          <w:tcPr>
            <w:tcW w:w="2133" w:type="dxa"/>
            <w:tcBorders>
              <w:top w:val="nil"/>
              <w:left w:val="nil"/>
              <w:bottom w:val="single" w:sz="4" w:space="0" w:color="auto"/>
              <w:right w:val="single" w:sz="4" w:space="0" w:color="auto"/>
            </w:tcBorders>
            <w:shd w:val="clear" w:color="auto" w:fill="auto"/>
            <w:vAlign w:val="center"/>
            <w:hideMark/>
          </w:tcPr>
          <w:p w14:paraId="7C0C2F67" w14:textId="77777777" w:rsidR="00CE3180" w:rsidRPr="002F0AC5" w:rsidRDefault="00CE3180" w:rsidP="00CE3180">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Si hay osteoporosis, cambiar a ABC.</w:t>
            </w:r>
          </w:p>
        </w:tc>
      </w:tr>
    </w:tbl>
    <w:p w14:paraId="221A20CE" w14:textId="77777777" w:rsidR="000621FE" w:rsidRPr="002F0AC5" w:rsidRDefault="000621FE" w:rsidP="000B04B0">
      <w:pPr>
        <w:autoSpaceDE w:val="0"/>
        <w:autoSpaceDN w:val="0"/>
        <w:adjustRightInd w:val="0"/>
        <w:spacing w:after="0" w:line="240" w:lineRule="auto"/>
        <w:rPr>
          <w:rFonts w:ascii="Arial" w:hAnsi="Arial" w:cs="Arial"/>
          <w:b/>
          <w:bCs/>
          <w:color w:val="4F82BE"/>
        </w:rPr>
      </w:pPr>
    </w:p>
    <w:p w14:paraId="5F693BC0" w14:textId="29C5C060" w:rsidR="000621FE" w:rsidRDefault="000621FE" w:rsidP="000B04B0">
      <w:pPr>
        <w:autoSpaceDE w:val="0"/>
        <w:autoSpaceDN w:val="0"/>
        <w:adjustRightInd w:val="0"/>
        <w:spacing w:after="0" w:line="240" w:lineRule="auto"/>
        <w:rPr>
          <w:rFonts w:ascii="Arial" w:hAnsi="Arial" w:cs="Arial"/>
          <w:b/>
          <w:bCs/>
          <w:color w:val="4F82BE"/>
        </w:rPr>
      </w:pPr>
    </w:p>
    <w:p w14:paraId="2271DBF9" w14:textId="77777777" w:rsidR="00FB4616" w:rsidRPr="002F0AC5" w:rsidRDefault="00FB4616" w:rsidP="000B04B0">
      <w:pPr>
        <w:autoSpaceDE w:val="0"/>
        <w:autoSpaceDN w:val="0"/>
        <w:adjustRightInd w:val="0"/>
        <w:spacing w:after="0" w:line="240" w:lineRule="auto"/>
        <w:rPr>
          <w:rFonts w:ascii="Arial" w:hAnsi="Arial" w:cs="Arial"/>
          <w:b/>
          <w:bCs/>
          <w:color w:val="4F82BE"/>
        </w:rPr>
      </w:pPr>
    </w:p>
    <w:p w14:paraId="63262870" w14:textId="77777777" w:rsidR="000621FE" w:rsidRPr="002F0AC5" w:rsidRDefault="00A02C49" w:rsidP="00532CAC">
      <w:pPr>
        <w:pStyle w:val="Ttulo1"/>
        <w:numPr>
          <w:ilvl w:val="0"/>
          <w:numId w:val="6"/>
        </w:numPr>
        <w:jc w:val="both"/>
      </w:pPr>
      <w:bookmarkStart w:id="11" w:name="_Toc32502171"/>
      <w:r w:rsidRPr="002F0AC5">
        <w:lastRenderedPageBreak/>
        <w:t>PROFILAXIS POST EXPOSICIÓN DE LA HEPATITIS B EN PERSONAS GESTANTES Y NO GESTANTES</w:t>
      </w:r>
      <w:r w:rsidR="000D5EEB" w:rsidRPr="002F0AC5">
        <w:t>.</w:t>
      </w:r>
      <w:bookmarkEnd w:id="11"/>
    </w:p>
    <w:p w14:paraId="49EA3BE9" w14:textId="77777777" w:rsidR="000621FE" w:rsidRPr="002F0AC5" w:rsidRDefault="000621FE" w:rsidP="000D5EEB">
      <w:pPr>
        <w:autoSpaceDE w:val="0"/>
        <w:autoSpaceDN w:val="0"/>
        <w:adjustRightInd w:val="0"/>
        <w:spacing w:after="0" w:line="240" w:lineRule="auto"/>
        <w:jc w:val="both"/>
        <w:rPr>
          <w:rFonts w:ascii="Arial" w:hAnsi="Arial" w:cs="Arial"/>
          <w:b/>
          <w:bCs/>
          <w:color w:val="4F82BE"/>
        </w:rPr>
      </w:pPr>
    </w:p>
    <w:p w14:paraId="3A0930B6" w14:textId="77777777" w:rsidR="000621FE" w:rsidRPr="002F0AC5" w:rsidRDefault="000D5EEB" w:rsidP="00507EAB">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La decisión de necesidad o no de Profilaxis para Hepatitis B, debe basarse en la certeza o no de vacunación previa y en el nivel de títulos de anticuerpos adecuados para Hepatitis B superiores a 10 </w:t>
      </w:r>
      <w:proofErr w:type="spellStart"/>
      <w:r w:rsidRPr="002F0AC5">
        <w:rPr>
          <w:rFonts w:ascii="Arial" w:eastAsia="ArialMT" w:hAnsi="Arial" w:cs="Arial"/>
        </w:rPr>
        <w:t>mlU</w:t>
      </w:r>
      <w:proofErr w:type="spellEnd"/>
      <w:r w:rsidRPr="002F0AC5">
        <w:rPr>
          <w:rFonts w:ascii="Arial" w:eastAsia="ArialMT" w:hAnsi="Arial" w:cs="Arial"/>
        </w:rPr>
        <w:t>/</w:t>
      </w:r>
      <w:proofErr w:type="spellStart"/>
      <w:r w:rsidRPr="002F0AC5">
        <w:rPr>
          <w:rFonts w:ascii="Arial" w:eastAsia="ArialMT" w:hAnsi="Arial" w:cs="Arial"/>
        </w:rPr>
        <w:t>mL</w:t>
      </w:r>
      <w:proofErr w:type="spellEnd"/>
      <w:r w:rsidRPr="002F0AC5">
        <w:rPr>
          <w:rFonts w:ascii="Arial" w:eastAsia="ArialMT" w:hAnsi="Arial" w:cs="Arial"/>
        </w:rPr>
        <w:t xml:space="preserve"> en la persona expuesta. El no acceso inmediato a dicha medición o la ausencia de información sobre el esquema de vacunación, no deben retrasar el inicio de la profilaxis contra VHB.</w:t>
      </w:r>
    </w:p>
    <w:p w14:paraId="17673748" w14:textId="1B4B1850" w:rsidR="000D5EEB" w:rsidRPr="002F0AC5" w:rsidRDefault="00A02C49" w:rsidP="00532CAC">
      <w:pPr>
        <w:pStyle w:val="Ttulo2"/>
        <w:numPr>
          <w:ilvl w:val="1"/>
          <w:numId w:val="6"/>
        </w:numPr>
      </w:pPr>
      <w:bookmarkStart w:id="12" w:name="_Toc32502172"/>
      <w:r w:rsidRPr="002F0AC5">
        <w:t>VACUNA CONTRA HEPATITIS B:</w:t>
      </w:r>
      <w:bookmarkEnd w:id="12"/>
    </w:p>
    <w:p w14:paraId="6DC08584" w14:textId="77777777" w:rsidR="000D5EEB" w:rsidRPr="002F0AC5" w:rsidRDefault="000D5EEB" w:rsidP="000D5EEB">
      <w:pPr>
        <w:autoSpaceDE w:val="0"/>
        <w:autoSpaceDN w:val="0"/>
        <w:adjustRightInd w:val="0"/>
        <w:spacing w:after="0" w:line="240" w:lineRule="auto"/>
        <w:rPr>
          <w:rFonts w:ascii="Arial" w:eastAsia="ArialMT" w:hAnsi="Arial" w:cs="Arial"/>
          <w:color w:val="548DD4" w:themeColor="text2" w:themeTint="99"/>
        </w:rPr>
      </w:pPr>
    </w:p>
    <w:p w14:paraId="0DCF1A48" w14:textId="2F62DD1D" w:rsidR="000D5EEB" w:rsidRDefault="000D5EEB" w:rsidP="000D5EEB">
      <w:pPr>
        <w:autoSpaceDE w:val="0"/>
        <w:autoSpaceDN w:val="0"/>
        <w:adjustRightInd w:val="0"/>
        <w:spacing w:after="0" w:line="240" w:lineRule="auto"/>
        <w:rPr>
          <w:rFonts w:ascii="Arial" w:eastAsia="ArialMT" w:hAnsi="Arial" w:cs="Arial"/>
        </w:rPr>
      </w:pPr>
      <w:r w:rsidRPr="002F0AC5">
        <w:rPr>
          <w:rFonts w:ascii="Arial" w:eastAsia="ArialMT" w:hAnsi="Arial" w:cs="Arial"/>
        </w:rPr>
        <w:t xml:space="preserve">Idealmente se debe iniciar durante las 72 horas </w:t>
      </w:r>
      <w:proofErr w:type="spellStart"/>
      <w:r w:rsidRPr="002F0AC5">
        <w:rPr>
          <w:rFonts w:ascii="Arial" w:eastAsia="ArialMT" w:hAnsi="Arial" w:cs="Arial"/>
        </w:rPr>
        <w:t>post-</w:t>
      </w:r>
      <w:r w:rsidR="00507EAB" w:rsidRPr="002F0AC5">
        <w:rPr>
          <w:rFonts w:ascii="Arial" w:eastAsia="ArialMT" w:hAnsi="Arial" w:cs="Arial"/>
        </w:rPr>
        <w:t>exposición</w:t>
      </w:r>
      <w:proofErr w:type="spellEnd"/>
      <w:r w:rsidR="00507EAB" w:rsidRPr="002F0AC5">
        <w:rPr>
          <w:rFonts w:ascii="Arial" w:eastAsia="ArialMT" w:hAnsi="Arial" w:cs="Arial"/>
        </w:rPr>
        <w:t>.</w:t>
      </w:r>
    </w:p>
    <w:p w14:paraId="7EC96771" w14:textId="77777777" w:rsidR="004338F1" w:rsidRPr="002F0AC5" w:rsidRDefault="004338F1" w:rsidP="000D5EEB">
      <w:pPr>
        <w:autoSpaceDE w:val="0"/>
        <w:autoSpaceDN w:val="0"/>
        <w:adjustRightInd w:val="0"/>
        <w:spacing w:after="0" w:line="240" w:lineRule="auto"/>
        <w:rPr>
          <w:rFonts w:ascii="Arial" w:eastAsia="ArialMT" w:hAnsi="Arial" w:cs="Arial"/>
        </w:rPr>
      </w:pPr>
    </w:p>
    <w:p w14:paraId="5D300369" w14:textId="77777777" w:rsidR="000D5EEB" w:rsidRPr="002F0AC5" w:rsidRDefault="000D5EEB" w:rsidP="00532CAC">
      <w:pPr>
        <w:pStyle w:val="Prrafodelista"/>
        <w:numPr>
          <w:ilvl w:val="0"/>
          <w:numId w:val="4"/>
        </w:num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Dosis para adolescentes: de 10 a 20 </w:t>
      </w:r>
      <w:proofErr w:type="spellStart"/>
      <w:r w:rsidRPr="002F0AC5">
        <w:rPr>
          <w:rFonts w:ascii="Arial" w:eastAsia="ArialMT" w:hAnsi="Arial" w:cs="Arial"/>
        </w:rPr>
        <w:t>ug</w:t>
      </w:r>
      <w:proofErr w:type="spellEnd"/>
      <w:r w:rsidRPr="002F0AC5">
        <w:rPr>
          <w:rFonts w:ascii="Arial" w:eastAsia="ArialMT" w:hAnsi="Arial" w:cs="Arial"/>
        </w:rPr>
        <w:t xml:space="preserve"> (</w:t>
      </w:r>
      <w:r w:rsidR="00FE36C2" w:rsidRPr="002F0AC5">
        <w:rPr>
          <w:rFonts w:ascii="Arial" w:eastAsia="ArialMT" w:hAnsi="Arial" w:cs="Arial"/>
        </w:rPr>
        <w:t>según</w:t>
      </w:r>
      <w:r w:rsidRPr="002F0AC5">
        <w:rPr>
          <w:rFonts w:ascii="Arial" w:eastAsia="ArialMT" w:hAnsi="Arial" w:cs="Arial"/>
        </w:rPr>
        <w:t xml:space="preserve"> laboratorio pro</w:t>
      </w:r>
      <w:r w:rsidR="00507EAB" w:rsidRPr="002F0AC5">
        <w:rPr>
          <w:rFonts w:ascii="Arial" w:eastAsia="ArialMT" w:hAnsi="Arial" w:cs="Arial"/>
        </w:rPr>
        <w:t>ductor). Se administra hasta 19 años</w:t>
      </w:r>
      <w:r w:rsidRPr="002F0AC5">
        <w:rPr>
          <w:rFonts w:ascii="Arial" w:eastAsia="ArialMT" w:hAnsi="Arial" w:cs="Arial"/>
        </w:rPr>
        <w:t xml:space="preserve"> inclusive.</w:t>
      </w:r>
    </w:p>
    <w:p w14:paraId="15FFC962" w14:textId="77777777" w:rsidR="00507EAB" w:rsidRPr="002F0AC5" w:rsidRDefault="00507EAB" w:rsidP="000D5EEB">
      <w:pPr>
        <w:autoSpaceDE w:val="0"/>
        <w:autoSpaceDN w:val="0"/>
        <w:adjustRightInd w:val="0"/>
        <w:spacing w:after="0" w:line="240" w:lineRule="auto"/>
        <w:jc w:val="both"/>
        <w:rPr>
          <w:rFonts w:ascii="Arial" w:eastAsia="ArialMT" w:hAnsi="Arial" w:cs="Arial"/>
        </w:rPr>
      </w:pPr>
    </w:p>
    <w:p w14:paraId="10DD8035" w14:textId="77777777" w:rsidR="00872BF4" w:rsidRPr="002F0AC5" w:rsidRDefault="00507EAB" w:rsidP="00532CAC">
      <w:pPr>
        <w:pStyle w:val="Prrafodelista"/>
        <w:numPr>
          <w:ilvl w:val="0"/>
          <w:numId w:val="4"/>
        </w:numPr>
        <w:autoSpaceDE w:val="0"/>
        <w:autoSpaceDN w:val="0"/>
        <w:adjustRightInd w:val="0"/>
        <w:spacing w:after="0" w:line="240" w:lineRule="auto"/>
        <w:jc w:val="both"/>
        <w:rPr>
          <w:rFonts w:ascii="Arial" w:eastAsia="ArialMT" w:hAnsi="Arial" w:cs="Arial"/>
        </w:rPr>
      </w:pPr>
      <w:r w:rsidRPr="002F0AC5">
        <w:rPr>
          <w:rFonts w:ascii="Arial" w:eastAsia="ArialMT" w:hAnsi="Arial" w:cs="Arial"/>
        </w:rPr>
        <w:t>Dosis adulta</w:t>
      </w:r>
      <w:r w:rsidR="000D5EEB" w:rsidRPr="002F0AC5">
        <w:rPr>
          <w:rFonts w:ascii="Arial" w:eastAsia="ArialMT" w:hAnsi="Arial" w:cs="Arial"/>
        </w:rPr>
        <w:t xml:space="preserve">: de 20 </w:t>
      </w:r>
      <w:proofErr w:type="spellStart"/>
      <w:r w:rsidR="000D5EEB" w:rsidRPr="002F0AC5">
        <w:rPr>
          <w:rFonts w:ascii="Arial" w:eastAsia="ArialMT" w:hAnsi="Arial" w:cs="Arial"/>
        </w:rPr>
        <w:t>ug</w:t>
      </w:r>
      <w:proofErr w:type="spellEnd"/>
      <w:r w:rsidR="000D5EEB" w:rsidRPr="002F0AC5">
        <w:rPr>
          <w:rFonts w:ascii="Arial" w:eastAsia="ArialMT" w:hAnsi="Arial" w:cs="Arial"/>
        </w:rPr>
        <w:t xml:space="preserve">, a partir de los 20 </w:t>
      </w:r>
      <w:r w:rsidRPr="002F0AC5">
        <w:rPr>
          <w:rFonts w:ascii="Arial" w:eastAsia="ArialMT" w:hAnsi="Arial" w:cs="Arial"/>
        </w:rPr>
        <w:t>años</w:t>
      </w:r>
      <w:r w:rsidR="000D5EEB" w:rsidRPr="002F0AC5">
        <w:rPr>
          <w:rFonts w:ascii="Arial" w:eastAsia="ArialMT" w:hAnsi="Arial" w:cs="Arial"/>
        </w:rPr>
        <w:t>.</w:t>
      </w:r>
    </w:p>
    <w:p w14:paraId="1C8C2F4C" w14:textId="77777777" w:rsidR="00CE3180" w:rsidRPr="002F0AC5" w:rsidRDefault="00CE3180" w:rsidP="00A77451">
      <w:pPr>
        <w:autoSpaceDE w:val="0"/>
        <w:autoSpaceDN w:val="0"/>
        <w:adjustRightInd w:val="0"/>
        <w:spacing w:after="0" w:line="240" w:lineRule="auto"/>
        <w:jc w:val="both"/>
        <w:rPr>
          <w:rFonts w:ascii="Arial" w:eastAsia="ArialMT" w:hAnsi="Arial" w:cs="Arial"/>
        </w:rPr>
      </w:pPr>
    </w:p>
    <w:p w14:paraId="48FF395F" w14:textId="77777777" w:rsidR="00507EAB" w:rsidRPr="002F0AC5" w:rsidRDefault="00507EAB" w:rsidP="00507EAB">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La primera y la segunda dosis deben estar separadas por un intervalo mínimo de 4 semanas. Es de preferencia un periodo más largo entre la segunda y tercera (4 meses);</w:t>
      </w:r>
    </w:p>
    <w:p w14:paraId="0248C549" w14:textId="77777777" w:rsidR="00CE3180" w:rsidRPr="002F0AC5" w:rsidRDefault="00507EAB" w:rsidP="00507EAB">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El esquema recomendado en estas directrices es 0, 1 y 6 meses, aunque hay esquemas rápidos de 0-1-2 meses, muy recomendados en personas pertenecientes a poblaciones clave.</w:t>
      </w:r>
    </w:p>
    <w:p w14:paraId="74FC2765" w14:textId="3581E795" w:rsidR="00507EAB" w:rsidRPr="002F0AC5" w:rsidRDefault="00A02C49" w:rsidP="00532CAC">
      <w:pPr>
        <w:pStyle w:val="Ttulo2"/>
        <w:numPr>
          <w:ilvl w:val="1"/>
          <w:numId w:val="6"/>
        </w:numPr>
      </w:pPr>
      <w:bookmarkStart w:id="13" w:name="_Toc32502173"/>
      <w:r w:rsidRPr="002F0AC5">
        <w:t>GAMMAGLOBULINA ANTI-HEPATITIS-B (HBIG).</w:t>
      </w:r>
      <w:bookmarkEnd w:id="13"/>
    </w:p>
    <w:p w14:paraId="08803AF1" w14:textId="77777777" w:rsidR="00507EAB" w:rsidRPr="002F0AC5" w:rsidRDefault="00507EAB" w:rsidP="00507EAB">
      <w:pPr>
        <w:autoSpaceDE w:val="0"/>
        <w:autoSpaceDN w:val="0"/>
        <w:adjustRightInd w:val="0"/>
        <w:spacing w:after="0" w:line="240" w:lineRule="auto"/>
        <w:rPr>
          <w:rFonts w:ascii="Arial" w:hAnsi="Arial" w:cs="Arial"/>
          <w:b/>
          <w:bCs/>
        </w:rPr>
      </w:pPr>
    </w:p>
    <w:p w14:paraId="3A61DCBC" w14:textId="77777777" w:rsidR="00CE3180" w:rsidRPr="002F0AC5" w:rsidRDefault="00507EAB" w:rsidP="00507EAB">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Se puede aplicar de manera simultánea con la vacuna, aunque en sitios diferentes de inyección. Esta se debe iniciar preferiblemente en las primeras 24 horas </w:t>
      </w:r>
      <w:proofErr w:type="spellStart"/>
      <w:r w:rsidRPr="002F0AC5">
        <w:rPr>
          <w:rFonts w:ascii="Arial" w:eastAsia="ArialMT" w:hAnsi="Arial" w:cs="Arial"/>
        </w:rPr>
        <w:t>post-exposición</w:t>
      </w:r>
      <w:proofErr w:type="spellEnd"/>
      <w:r w:rsidRPr="002F0AC5">
        <w:rPr>
          <w:rFonts w:ascii="Arial" w:eastAsia="ArialMT" w:hAnsi="Arial" w:cs="Arial"/>
        </w:rPr>
        <w:t>. Aplicadas dentro de este tiempo han mostrado ser 70% a 90% efectivas para prevenir la infección por hepatitis B, sin embargo, puede aplicarse hasta un plazo máximo de 7 días después de exposiciones percutáneas</w:t>
      </w:r>
      <w:r w:rsidR="00FA055A" w:rsidRPr="002F0AC5">
        <w:rPr>
          <w:rFonts w:ascii="Arial" w:eastAsia="ArialMT" w:hAnsi="Arial" w:cs="Arial"/>
        </w:rPr>
        <w:t>.</w:t>
      </w:r>
    </w:p>
    <w:p w14:paraId="575DE014" w14:textId="77777777" w:rsidR="00CE3180" w:rsidRPr="002F0AC5" w:rsidRDefault="00CE3180" w:rsidP="00507EAB">
      <w:pPr>
        <w:autoSpaceDE w:val="0"/>
        <w:autoSpaceDN w:val="0"/>
        <w:adjustRightInd w:val="0"/>
        <w:spacing w:after="0" w:line="240" w:lineRule="auto"/>
        <w:jc w:val="both"/>
        <w:rPr>
          <w:rFonts w:ascii="Arial" w:eastAsia="ArialMT" w:hAnsi="Arial" w:cs="Arial"/>
        </w:rPr>
      </w:pPr>
    </w:p>
    <w:p w14:paraId="476A398E" w14:textId="77777777" w:rsidR="00CE3180" w:rsidRPr="002F0AC5" w:rsidRDefault="00FA055A" w:rsidP="00FA055A">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La dosis a aplicar de la gammaglobulina es aquella recomendada por el fabricante. En algunos casos es recomendable una dosis adicional a las cuatro semanas, por lo cual es importante revisar el inserto del fabricante.</w:t>
      </w:r>
    </w:p>
    <w:p w14:paraId="512ED1B4" w14:textId="77777777" w:rsidR="00CE3180" w:rsidRPr="002F0AC5" w:rsidRDefault="00CE3180" w:rsidP="00FA055A">
      <w:pPr>
        <w:autoSpaceDE w:val="0"/>
        <w:autoSpaceDN w:val="0"/>
        <w:adjustRightInd w:val="0"/>
        <w:spacing w:after="0" w:line="240" w:lineRule="auto"/>
        <w:jc w:val="both"/>
        <w:rPr>
          <w:rFonts w:ascii="Arial" w:eastAsia="ArialMT" w:hAnsi="Arial" w:cs="Arial"/>
        </w:rPr>
      </w:pPr>
    </w:p>
    <w:p w14:paraId="20E85259" w14:textId="77777777" w:rsidR="00CE3180" w:rsidRPr="002F0AC5" w:rsidRDefault="00FA055A" w:rsidP="00FA055A">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En todos los casos se recomienda realizar una prueba de línea base (idealmente anti-</w:t>
      </w:r>
      <w:proofErr w:type="spellStart"/>
      <w:r w:rsidRPr="002F0AC5">
        <w:rPr>
          <w:rFonts w:ascii="Arial" w:eastAsia="ArialMT" w:hAnsi="Arial" w:cs="Arial"/>
        </w:rPr>
        <w:t>HBc</w:t>
      </w:r>
      <w:proofErr w:type="spellEnd"/>
      <w:r w:rsidRPr="002F0AC5">
        <w:rPr>
          <w:rFonts w:ascii="Arial" w:eastAsia="ArialMT" w:hAnsi="Arial" w:cs="Arial"/>
        </w:rPr>
        <w:t xml:space="preserve"> o en su defecto HBsAg) para infección por el VHB, lo más pronto posible después de la exposición, para determinar si la persona expuesta se encontraba infectada antes de la exposición. La no disponibilidad de estas pruebas no debe retardar el inicio de la profilaxis </w:t>
      </w:r>
      <w:proofErr w:type="spellStart"/>
      <w:r w:rsidRPr="002F0AC5">
        <w:rPr>
          <w:rFonts w:ascii="Arial" w:eastAsia="ArialMT" w:hAnsi="Arial" w:cs="Arial"/>
        </w:rPr>
        <w:t>post-exposición</w:t>
      </w:r>
      <w:proofErr w:type="spellEnd"/>
      <w:r w:rsidRPr="002F0AC5">
        <w:rPr>
          <w:rFonts w:ascii="Arial" w:eastAsia="ArialMT" w:hAnsi="Arial" w:cs="Arial"/>
        </w:rPr>
        <w:t>.</w:t>
      </w:r>
    </w:p>
    <w:p w14:paraId="5A623870" w14:textId="539E1F43" w:rsidR="00CE3180" w:rsidRDefault="00CE3180" w:rsidP="00A77451">
      <w:pPr>
        <w:autoSpaceDE w:val="0"/>
        <w:autoSpaceDN w:val="0"/>
        <w:adjustRightInd w:val="0"/>
        <w:spacing w:after="0" w:line="240" w:lineRule="auto"/>
        <w:jc w:val="both"/>
        <w:rPr>
          <w:rFonts w:ascii="Arial" w:eastAsia="ArialMT" w:hAnsi="Arial" w:cs="Arial"/>
        </w:rPr>
      </w:pPr>
    </w:p>
    <w:p w14:paraId="742228E6" w14:textId="5D87FE68" w:rsidR="004338F1" w:rsidRDefault="004338F1" w:rsidP="00A77451">
      <w:pPr>
        <w:autoSpaceDE w:val="0"/>
        <w:autoSpaceDN w:val="0"/>
        <w:adjustRightInd w:val="0"/>
        <w:spacing w:after="0" w:line="240" w:lineRule="auto"/>
        <w:jc w:val="both"/>
        <w:rPr>
          <w:rFonts w:ascii="Arial" w:eastAsia="ArialMT" w:hAnsi="Arial" w:cs="Arial"/>
        </w:rPr>
      </w:pPr>
    </w:p>
    <w:p w14:paraId="4537C98D" w14:textId="77777777" w:rsidR="004338F1" w:rsidRPr="002F0AC5" w:rsidRDefault="004338F1" w:rsidP="00A77451">
      <w:pPr>
        <w:autoSpaceDE w:val="0"/>
        <w:autoSpaceDN w:val="0"/>
        <w:adjustRightInd w:val="0"/>
        <w:spacing w:after="0" w:line="240" w:lineRule="auto"/>
        <w:jc w:val="both"/>
        <w:rPr>
          <w:rFonts w:ascii="Arial" w:eastAsia="ArialMT" w:hAnsi="Arial" w:cs="Arial"/>
        </w:rPr>
      </w:pPr>
    </w:p>
    <w:p w14:paraId="051C0CD0" w14:textId="77777777" w:rsidR="00CE3180" w:rsidRPr="002F0AC5" w:rsidRDefault="00A02C49" w:rsidP="00532CAC">
      <w:pPr>
        <w:pStyle w:val="Ttulo1"/>
        <w:numPr>
          <w:ilvl w:val="0"/>
          <w:numId w:val="6"/>
        </w:numPr>
        <w:jc w:val="both"/>
      </w:pPr>
      <w:bookmarkStart w:id="14" w:name="_Toc32502174"/>
      <w:r w:rsidRPr="002F0AC5">
        <w:lastRenderedPageBreak/>
        <w:t>MANEJO POST-EXPOSICIÓN OCUPACIONAL A SANGRE Y FLUIDOS CORPORALES, PERCUTÁNEA O MUCOSA, DE ACUERDO AL ESTADO DE VACUNACIÓN DE LA PERSONA EXPUESTA Y RESPUESTA INMUNOLÓGICA A LA VACUNA CONTRA LA HEPATITIS B.</w:t>
      </w:r>
      <w:bookmarkEnd w:id="14"/>
    </w:p>
    <w:p w14:paraId="20243F29" w14:textId="77777777" w:rsidR="00416B5D" w:rsidRPr="002F0AC5" w:rsidRDefault="00416B5D" w:rsidP="00A77451">
      <w:pPr>
        <w:autoSpaceDE w:val="0"/>
        <w:autoSpaceDN w:val="0"/>
        <w:adjustRightInd w:val="0"/>
        <w:spacing w:after="0" w:line="240" w:lineRule="auto"/>
        <w:jc w:val="both"/>
        <w:rPr>
          <w:rFonts w:ascii="Arial" w:hAnsi="Arial" w:cs="Arial"/>
          <w:b/>
          <w:bCs/>
        </w:rPr>
      </w:pPr>
    </w:p>
    <w:tbl>
      <w:tblPr>
        <w:tblW w:w="10490" w:type="dxa"/>
        <w:tblInd w:w="-856" w:type="dxa"/>
        <w:tblLayout w:type="fixed"/>
        <w:tblCellMar>
          <w:left w:w="70" w:type="dxa"/>
          <w:right w:w="70" w:type="dxa"/>
        </w:tblCellMar>
        <w:tblLook w:val="04A0" w:firstRow="1" w:lastRow="0" w:firstColumn="1" w:lastColumn="0" w:noHBand="0" w:noVBand="1"/>
      </w:tblPr>
      <w:tblGrid>
        <w:gridCol w:w="1844"/>
        <w:gridCol w:w="1417"/>
        <w:gridCol w:w="2330"/>
        <w:gridCol w:w="1714"/>
        <w:gridCol w:w="67"/>
        <w:gridCol w:w="1417"/>
        <w:gridCol w:w="1701"/>
      </w:tblGrid>
      <w:tr w:rsidR="00972FB3" w:rsidRPr="002F0AC5" w14:paraId="54FC34B7" w14:textId="77777777" w:rsidTr="004338F1">
        <w:trPr>
          <w:trHeight w:val="838"/>
        </w:trPr>
        <w:tc>
          <w:tcPr>
            <w:tcW w:w="1844"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2997D932" w14:textId="77777777" w:rsidR="00972FB3" w:rsidRPr="004338F1" w:rsidRDefault="00972FB3" w:rsidP="00972FB3">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Estado de la persona expuesta</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417409B6" w14:textId="77777777" w:rsidR="00972FB3" w:rsidRPr="004338F1" w:rsidRDefault="00972FB3" w:rsidP="00972FB3">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Paciente fuente (HBsAg)</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bottom"/>
            <w:hideMark/>
          </w:tcPr>
          <w:p w14:paraId="1BA56DF3" w14:textId="77777777" w:rsidR="00972FB3" w:rsidRPr="004338F1" w:rsidRDefault="00972FB3" w:rsidP="00972FB3">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Respuesta conocida a vacunación contra la hepatitis B en la persona expuesta (anti-</w:t>
            </w:r>
            <w:proofErr w:type="spellStart"/>
            <w:proofErr w:type="gramStart"/>
            <w:r w:rsidRPr="004338F1">
              <w:rPr>
                <w:rFonts w:ascii="Arial" w:eastAsia="Times New Roman" w:hAnsi="Arial" w:cs="Arial"/>
                <w:b/>
                <w:bCs/>
                <w:color w:val="000000"/>
                <w:lang w:eastAsia="es-CO"/>
              </w:rPr>
              <w:t>HBs</w:t>
            </w:r>
            <w:proofErr w:type="spellEnd"/>
            <w:r w:rsidRPr="004338F1">
              <w:rPr>
                <w:rFonts w:ascii="Arial" w:eastAsia="Times New Roman" w:hAnsi="Arial" w:cs="Arial"/>
                <w:b/>
                <w:bCs/>
                <w:color w:val="000000"/>
                <w:lang w:eastAsia="es-CO"/>
              </w:rPr>
              <w:t>)*</w:t>
            </w:r>
            <w:proofErr w:type="gramEnd"/>
          </w:p>
        </w:tc>
        <w:tc>
          <w:tcPr>
            <w:tcW w:w="3198" w:type="dxa"/>
            <w:gridSpan w:val="3"/>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3477CD28" w14:textId="77777777" w:rsidR="00972FB3" w:rsidRPr="004338F1" w:rsidRDefault="00972FB3" w:rsidP="00972FB3">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 xml:space="preserve">Profilaxis </w:t>
            </w:r>
            <w:proofErr w:type="spellStart"/>
            <w:r w:rsidRPr="004338F1">
              <w:rPr>
                <w:rFonts w:ascii="Arial" w:eastAsia="Times New Roman" w:hAnsi="Arial" w:cs="Arial"/>
                <w:b/>
                <w:bCs/>
                <w:color w:val="000000"/>
                <w:lang w:eastAsia="es-CO"/>
              </w:rPr>
              <w:t>post-exposición</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7306551D" w14:textId="77777777" w:rsidR="00972FB3" w:rsidRPr="004338F1" w:rsidRDefault="00972FB3" w:rsidP="00972FB3">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Prueba serológica anti-</w:t>
            </w:r>
            <w:proofErr w:type="spellStart"/>
            <w:r w:rsidRPr="004338F1">
              <w:rPr>
                <w:rFonts w:ascii="Arial" w:eastAsia="Times New Roman" w:hAnsi="Arial" w:cs="Arial"/>
                <w:b/>
                <w:bCs/>
                <w:color w:val="000000"/>
                <w:lang w:eastAsia="es-CO"/>
              </w:rPr>
              <w:t>HBs</w:t>
            </w:r>
            <w:proofErr w:type="spellEnd"/>
            <w:r w:rsidRPr="004338F1">
              <w:rPr>
                <w:rFonts w:ascii="Arial" w:eastAsia="Times New Roman" w:hAnsi="Arial" w:cs="Arial"/>
                <w:b/>
                <w:bCs/>
                <w:color w:val="000000"/>
                <w:lang w:eastAsia="es-CO"/>
              </w:rPr>
              <w:t xml:space="preserve"> post- </w:t>
            </w:r>
            <w:proofErr w:type="gramStart"/>
            <w:r w:rsidRPr="004338F1">
              <w:rPr>
                <w:rFonts w:ascii="Arial" w:eastAsia="Times New Roman" w:hAnsi="Arial" w:cs="Arial"/>
                <w:b/>
                <w:bCs/>
                <w:color w:val="000000"/>
                <w:lang w:eastAsia="es-CO"/>
              </w:rPr>
              <w:t>vacunación.*</w:t>
            </w:r>
            <w:proofErr w:type="gramEnd"/>
            <w:r w:rsidRPr="004338F1">
              <w:rPr>
                <w:rFonts w:ascii="Arial" w:eastAsia="Times New Roman" w:hAnsi="Arial" w:cs="Arial"/>
                <w:b/>
                <w:bCs/>
                <w:color w:val="000000"/>
                <w:lang w:eastAsia="es-CO"/>
              </w:rPr>
              <w:t>**</w:t>
            </w:r>
          </w:p>
        </w:tc>
      </w:tr>
      <w:tr w:rsidR="00972FB3" w:rsidRPr="002F0AC5" w14:paraId="26D7FB10" w14:textId="77777777" w:rsidTr="004338F1">
        <w:trPr>
          <w:trHeight w:val="300"/>
        </w:trPr>
        <w:tc>
          <w:tcPr>
            <w:tcW w:w="1844"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6A7F41FF" w14:textId="77777777" w:rsidR="00972FB3" w:rsidRPr="002F0AC5" w:rsidRDefault="00972FB3" w:rsidP="00972FB3">
            <w:pPr>
              <w:spacing w:after="0" w:line="240" w:lineRule="auto"/>
              <w:rPr>
                <w:rFonts w:ascii="Arial" w:eastAsia="Times New Roman" w:hAnsi="Arial" w:cs="Arial"/>
                <w:color w:val="000000"/>
                <w:lang w:eastAsia="es-CO"/>
              </w:rPr>
            </w:pPr>
          </w:p>
        </w:tc>
        <w:tc>
          <w:tcPr>
            <w:tcW w:w="1417"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2F13B498" w14:textId="77777777" w:rsidR="00972FB3" w:rsidRPr="002F0AC5" w:rsidRDefault="00972FB3" w:rsidP="00972FB3">
            <w:pPr>
              <w:spacing w:after="0" w:line="240" w:lineRule="auto"/>
              <w:rPr>
                <w:rFonts w:ascii="Arial" w:eastAsia="Times New Roman" w:hAnsi="Arial" w:cs="Arial"/>
                <w:color w:val="000000"/>
                <w:lang w:eastAsia="es-CO"/>
              </w:rPr>
            </w:pPr>
          </w:p>
        </w:tc>
        <w:tc>
          <w:tcPr>
            <w:tcW w:w="2330"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220406B5" w14:textId="77777777" w:rsidR="00972FB3" w:rsidRPr="002F0AC5" w:rsidRDefault="00972FB3" w:rsidP="00972FB3">
            <w:pPr>
              <w:spacing w:after="0" w:line="240" w:lineRule="auto"/>
              <w:rPr>
                <w:rFonts w:ascii="Arial" w:eastAsia="Times New Roman" w:hAnsi="Arial" w:cs="Arial"/>
                <w:color w:val="000000"/>
                <w:lang w:eastAsia="es-CO"/>
              </w:rPr>
            </w:pPr>
          </w:p>
        </w:tc>
        <w:tc>
          <w:tcPr>
            <w:tcW w:w="1781"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14:paraId="0F821F47" w14:textId="77777777" w:rsidR="00972FB3" w:rsidRPr="004338F1" w:rsidRDefault="00972FB3" w:rsidP="004338F1">
            <w:pPr>
              <w:spacing w:after="0" w:line="240" w:lineRule="auto"/>
              <w:jc w:val="center"/>
              <w:rPr>
                <w:rFonts w:ascii="Arial" w:eastAsia="Times New Roman" w:hAnsi="Arial" w:cs="Arial"/>
                <w:b/>
                <w:bCs/>
                <w:color w:val="000000"/>
                <w:sz w:val="20"/>
                <w:szCs w:val="20"/>
                <w:lang w:eastAsia="es-CO"/>
              </w:rPr>
            </w:pPr>
            <w:r w:rsidRPr="004338F1">
              <w:rPr>
                <w:rFonts w:ascii="Arial" w:eastAsia="Times New Roman" w:hAnsi="Arial" w:cs="Arial"/>
                <w:b/>
                <w:bCs/>
                <w:color w:val="000000"/>
                <w:sz w:val="20"/>
                <w:szCs w:val="20"/>
                <w:lang w:eastAsia="es-CO"/>
              </w:rPr>
              <w:t>Gammaglobulina</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14:paraId="0DF6B240" w14:textId="77777777" w:rsidR="00972FB3" w:rsidRPr="004338F1" w:rsidRDefault="00972FB3" w:rsidP="004338F1">
            <w:pPr>
              <w:spacing w:after="0" w:line="240" w:lineRule="auto"/>
              <w:jc w:val="center"/>
              <w:rPr>
                <w:rFonts w:ascii="Arial" w:eastAsia="Times New Roman" w:hAnsi="Arial" w:cs="Arial"/>
                <w:b/>
                <w:bCs/>
                <w:color w:val="000000"/>
                <w:sz w:val="20"/>
                <w:szCs w:val="20"/>
                <w:lang w:eastAsia="es-CO"/>
              </w:rPr>
            </w:pPr>
            <w:r w:rsidRPr="004338F1">
              <w:rPr>
                <w:rFonts w:ascii="Arial" w:eastAsia="Times New Roman" w:hAnsi="Arial" w:cs="Arial"/>
                <w:b/>
                <w:bCs/>
                <w:color w:val="000000"/>
                <w:sz w:val="20"/>
                <w:szCs w:val="20"/>
                <w:lang w:eastAsia="es-CO"/>
              </w:rPr>
              <w:t>Vacunación</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C20F15B" w14:textId="77777777" w:rsidR="00972FB3" w:rsidRPr="002F0AC5" w:rsidRDefault="00972FB3" w:rsidP="00972FB3">
            <w:pPr>
              <w:spacing w:after="0" w:line="240" w:lineRule="auto"/>
              <w:rPr>
                <w:rFonts w:ascii="Arial" w:eastAsia="Times New Roman" w:hAnsi="Arial" w:cs="Arial"/>
                <w:color w:val="000000"/>
                <w:lang w:eastAsia="es-CO"/>
              </w:rPr>
            </w:pPr>
          </w:p>
        </w:tc>
      </w:tr>
      <w:tr w:rsidR="00B1463E" w:rsidRPr="002F0AC5" w14:paraId="1BE40734" w14:textId="77777777" w:rsidTr="004338F1">
        <w:trPr>
          <w:trHeight w:val="2057"/>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46C767D5"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Respondedor&amp; después de un esquema completo de vacunación contra la hepatitis B (3 dosis o más).</w:t>
            </w:r>
          </w:p>
        </w:tc>
        <w:tc>
          <w:tcPr>
            <w:tcW w:w="1417" w:type="dxa"/>
            <w:tcBorders>
              <w:top w:val="nil"/>
              <w:left w:val="nil"/>
              <w:bottom w:val="single" w:sz="4" w:space="0" w:color="auto"/>
              <w:right w:val="single" w:sz="4" w:space="0" w:color="auto"/>
            </w:tcBorders>
            <w:shd w:val="clear" w:color="auto" w:fill="auto"/>
            <w:vAlign w:val="center"/>
            <w:hideMark/>
          </w:tcPr>
          <w:p w14:paraId="6AE73A1B"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Positivo / desconocido / negativo</w:t>
            </w:r>
          </w:p>
        </w:tc>
        <w:tc>
          <w:tcPr>
            <w:tcW w:w="2330" w:type="dxa"/>
            <w:tcBorders>
              <w:top w:val="nil"/>
              <w:left w:val="nil"/>
              <w:bottom w:val="single" w:sz="4" w:space="0" w:color="auto"/>
              <w:right w:val="single" w:sz="4" w:space="0" w:color="auto"/>
            </w:tcBorders>
            <w:shd w:val="clear" w:color="auto" w:fill="auto"/>
            <w:noWrap/>
            <w:vAlign w:val="center"/>
            <w:hideMark/>
          </w:tcPr>
          <w:p w14:paraId="43AD14F2"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Anti-</w:t>
            </w:r>
            <w:proofErr w:type="spellStart"/>
            <w:r w:rsidRPr="002F0AC5">
              <w:rPr>
                <w:rFonts w:ascii="Arial" w:eastAsia="Times New Roman" w:hAnsi="Arial" w:cs="Arial"/>
                <w:color w:val="000000"/>
                <w:lang w:eastAsia="es-CO"/>
              </w:rPr>
              <w:t>HBs</w:t>
            </w:r>
            <w:proofErr w:type="spellEnd"/>
            <w:r w:rsidRPr="002F0AC5">
              <w:rPr>
                <w:rFonts w:ascii="Arial" w:eastAsia="Times New Roman" w:hAnsi="Arial" w:cs="Arial"/>
                <w:color w:val="000000"/>
                <w:lang w:eastAsia="es-CO"/>
              </w:rPr>
              <w:t xml:space="preserve"> es &gt;10 </w:t>
            </w:r>
            <w:proofErr w:type="spellStart"/>
            <w:r w:rsidRPr="002F0AC5">
              <w:rPr>
                <w:rFonts w:ascii="Arial" w:eastAsia="Times New Roman" w:hAnsi="Arial" w:cs="Arial"/>
                <w:color w:val="000000"/>
                <w:lang w:eastAsia="es-CO"/>
              </w:rPr>
              <w:t>mIU</w:t>
            </w:r>
            <w:proofErr w:type="spellEnd"/>
            <w:r w:rsidRPr="002F0AC5">
              <w:rPr>
                <w:rFonts w:ascii="Arial" w:eastAsia="Times New Roman" w:hAnsi="Arial" w:cs="Arial"/>
                <w:color w:val="000000"/>
                <w:lang w:eastAsia="es-CO"/>
              </w:rPr>
              <w:t>/Ml</w:t>
            </w:r>
          </w:p>
        </w:tc>
        <w:tc>
          <w:tcPr>
            <w:tcW w:w="489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2095A8F"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No se requiere intervención.</w:t>
            </w:r>
          </w:p>
        </w:tc>
      </w:tr>
      <w:tr w:rsidR="00972FB3" w:rsidRPr="002F0AC5" w14:paraId="3BFB3A6A" w14:textId="77777777" w:rsidTr="004338F1">
        <w:trPr>
          <w:trHeight w:val="1310"/>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15F514E9"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No respondedor &amp;&amp; después de 6 dosis de vacuna contra la hepatitis B.</w:t>
            </w:r>
          </w:p>
        </w:tc>
        <w:tc>
          <w:tcPr>
            <w:tcW w:w="1417" w:type="dxa"/>
            <w:tcBorders>
              <w:top w:val="nil"/>
              <w:left w:val="nil"/>
              <w:bottom w:val="single" w:sz="4" w:space="0" w:color="auto"/>
              <w:right w:val="single" w:sz="4" w:space="0" w:color="auto"/>
            </w:tcBorders>
            <w:shd w:val="clear" w:color="auto" w:fill="auto"/>
            <w:vAlign w:val="center"/>
            <w:hideMark/>
          </w:tcPr>
          <w:p w14:paraId="762FD8E7"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Positivo / desconocido</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100D8"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Anti-</w:t>
            </w:r>
            <w:proofErr w:type="spellStart"/>
            <w:r w:rsidRPr="002F0AC5">
              <w:rPr>
                <w:rFonts w:ascii="Arial" w:eastAsia="Times New Roman" w:hAnsi="Arial" w:cs="Arial"/>
                <w:color w:val="000000"/>
                <w:lang w:eastAsia="es-CO"/>
              </w:rPr>
              <w:t>HBs</w:t>
            </w:r>
            <w:proofErr w:type="spellEnd"/>
            <w:r w:rsidRPr="002F0AC5">
              <w:rPr>
                <w:rFonts w:ascii="Arial" w:eastAsia="Times New Roman" w:hAnsi="Arial" w:cs="Arial"/>
                <w:color w:val="000000"/>
                <w:lang w:eastAsia="es-CO"/>
              </w:rPr>
              <w:t xml:space="preserve"> es &lt;10 </w:t>
            </w:r>
            <w:proofErr w:type="spellStart"/>
            <w:r w:rsidRPr="002F0AC5">
              <w:rPr>
                <w:rFonts w:ascii="Arial" w:eastAsia="Times New Roman" w:hAnsi="Arial" w:cs="Arial"/>
                <w:color w:val="000000"/>
                <w:lang w:eastAsia="es-CO"/>
              </w:rPr>
              <w:t>mIU</w:t>
            </w:r>
            <w:proofErr w:type="spellEnd"/>
            <w:r w:rsidRPr="002F0AC5">
              <w:rPr>
                <w:rFonts w:ascii="Arial" w:eastAsia="Times New Roman" w:hAnsi="Arial" w:cs="Arial"/>
                <w:color w:val="000000"/>
                <w:lang w:eastAsia="es-CO"/>
              </w:rPr>
              <w:t>/</w:t>
            </w:r>
            <w:proofErr w:type="spellStart"/>
            <w:r w:rsidRPr="002F0AC5">
              <w:rPr>
                <w:rFonts w:ascii="Arial" w:eastAsia="Times New Roman" w:hAnsi="Arial" w:cs="Arial"/>
                <w:color w:val="000000"/>
                <w:lang w:eastAsia="es-CO"/>
              </w:rPr>
              <w:t>mL</w:t>
            </w:r>
            <w:proofErr w:type="spellEnd"/>
            <w:r w:rsidRPr="002F0AC5">
              <w:rPr>
                <w:rFonts w:ascii="Arial" w:eastAsia="Times New Roman" w:hAnsi="Arial" w:cs="Arial"/>
                <w:color w:val="000000"/>
                <w:lang w:eastAsia="es-CO"/>
              </w:rPr>
              <w:t>.</w:t>
            </w:r>
          </w:p>
        </w:tc>
        <w:tc>
          <w:tcPr>
            <w:tcW w:w="1714" w:type="dxa"/>
            <w:tcBorders>
              <w:top w:val="nil"/>
              <w:left w:val="nil"/>
              <w:bottom w:val="single" w:sz="4" w:space="0" w:color="auto"/>
              <w:right w:val="single" w:sz="4" w:space="0" w:color="auto"/>
            </w:tcBorders>
            <w:shd w:val="clear" w:color="auto" w:fill="auto"/>
            <w:vAlign w:val="center"/>
            <w:hideMark/>
          </w:tcPr>
          <w:p w14:paraId="4FAA19BD"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Gammaglobulina 2 dosis separadas por un intervalo de 4 semanas.</w:t>
            </w:r>
          </w:p>
        </w:tc>
        <w:tc>
          <w:tcPr>
            <w:tcW w:w="1484" w:type="dxa"/>
            <w:gridSpan w:val="2"/>
            <w:tcBorders>
              <w:top w:val="nil"/>
              <w:left w:val="nil"/>
              <w:bottom w:val="single" w:sz="4" w:space="0" w:color="auto"/>
              <w:right w:val="single" w:sz="4" w:space="0" w:color="auto"/>
            </w:tcBorders>
            <w:shd w:val="clear" w:color="auto" w:fill="auto"/>
            <w:noWrap/>
            <w:vAlign w:val="center"/>
            <w:hideMark/>
          </w:tcPr>
          <w:p w14:paraId="4BAA3523"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NO</w:t>
            </w:r>
          </w:p>
        </w:tc>
        <w:tc>
          <w:tcPr>
            <w:tcW w:w="1701" w:type="dxa"/>
            <w:tcBorders>
              <w:top w:val="nil"/>
              <w:left w:val="nil"/>
              <w:bottom w:val="single" w:sz="4" w:space="0" w:color="auto"/>
              <w:right w:val="single" w:sz="4" w:space="0" w:color="auto"/>
            </w:tcBorders>
            <w:shd w:val="clear" w:color="auto" w:fill="auto"/>
            <w:noWrap/>
            <w:vAlign w:val="center"/>
            <w:hideMark/>
          </w:tcPr>
          <w:p w14:paraId="5BC55282"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NO</w:t>
            </w:r>
          </w:p>
        </w:tc>
      </w:tr>
      <w:tr w:rsidR="00B1463E" w:rsidRPr="002F0AC5" w14:paraId="78039897" w14:textId="77777777" w:rsidTr="004338F1">
        <w:trPr>
          <w:trHeight w:val="300"/>
        </w:trPr>
        <w:tc>
          <w:tcPr>
            <w:tcW w:w="1844" w:type="dxa"/>
            <w:vMerge/>
            <w:tcBorders>
              <w:top w:val="nil"/>
              <w:left w:val="single" w:sz="4" w:space="0" w:color="auto"/>
              <w:bottom w:val="single" w:sz="4" w:space="0" w:color="000000"/>
              <w:right w:val="single" w:sz="4" w:space="0" w:color="auto"/>
            </w:tcBorders>
            <w:vAlign w:val="center"/>
            <w:hideMark/>
          </w:tcPr>
          <w:p w14:paraId="2FFCD1A5" w14:textId="77777777" w:rsidR="00972FB3" w:rsidRPr="002F0AC5" w:rsidRDefault="00972FB3" w:rsidP="004338F1">
            <w:pPr>
              <w:spacing w:after="0" w:line="240" w:lineRule="auto"/>
              <w:jc w:val="center"/>
              <w:rPr>
                <w:rFonts w:ascii="Arial" w:eastAsia="Times New Roman" w:hAnsi="Arial" w:cs="Arial"/>
                <w:color w:val="000000"/>
                <w:lang w:eastAsia="es-CO"/>
              </w:rPr>
            </w:pPr>
          </w:p>
        </w:tc>
        <w:tc>
          <w:tcPr>
            <w:tcW w:w="1417" w:type="dxa"/>
            <w:tcBorders>
              <w:top w:val="nil"/>
              <w:left w:val="nil"/>
              <w:bottom w:val="single" w:sz="4" w:space="0" w:color="auto"/>
              <w:right w:val="single" w:sz="4" w:space="0" w:color="auto"/>
            </w:tcBorders>
            <w:shd w:val="clear" w:color="auto" w:fill="auto"/>
            <w:noWrap/>
            <w:vAlign w:val="center"/>
            <w:hideMark/>
          </w:tcPr>
          <w:p w14:paraId="11037851"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Negativo</w:t>
            </w:r>
          </w:p>
        </w:tc>
        <w:tc>
          <w:tcPr>
            <w:tcW w:w="2330" w:type="dxa"/>
            <w:vMerge/>
            <w:tcBorders>
              <w:top w:val="nil"/>
              <w:left w:val="single" w:sz="4" w:space="0" w:color="auto"/>
              <w:bottom w:val="single" w:sz="4" w:space="0" w:color="000000"/>
              <w:right w:val="single" w:sz="4" w:space="0" w:color="auto"/>
            </w:tcBorders>
            <w:vAlign w:val="center"/>
            <w:hideMark/>
          </w:tcPr>
          <w:p w14:paraId="4D2B78F1" w14:textId="77777777" w:rsidR="00972FB3" w:rsidRPr="002F0AC5" w:rsidRDefault="00972FB3" w:rsidP="004338F1">
            <w:pPr>
              <w:spacing w:after="0" w:line="240" w:lineRule="auto"/>
              <w:jc w:val="center"/>
              <w:rPr>
                <w:rFonts w:ascii="Arial" w:eastAsia="Times New Roman" w:hAnsi="Arial" w:cs="Arial"/>
                <w:color w:val="000000"/>
                <w:lang w:eastAsia="es-CO"/>
              </w:rPr>
            </w:pPr>
          </w:p>
        </w:tc>
        <w:tc>
          <w:tcPr>
            <w:tcW w:w="489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7CB9443"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No se requiere intervención.</w:t>
            </w:r>
          </w:p>
        </w:tc>
      </w:tr>
      <w:tr w:rsidR="00972FB3" w:rsidRPr="002F0AC5" w14:paraId="5C3330FC" w14:textId="77777777" w:rsidTr="004338F1">
        <w:trPr>
          <w:trHeight w:val="2700"/>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3D01D948" w14:textId="23062E5C"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Persona con 3 dosis de vacuna contra la hepatitis B</w:t>
            </w:r>
          </w:p>
        </w:tc>
        <w:tc>
          <w:tcPr>
            <w:tcW w:w="1417" w:type="dxa"/>
            <w:tcBorders>
              <w:top w:val="nil"/>
              <w:left w:val="nil"/>
              <w:bottom w:val="single" w:sz="4" w:space="0" w:color="auto"/>
              <w:right w:val="single" w:sz="4" w:space="0" w:color="auto"/>
            </w:tcBorders>
            <w:shd w:val="clear" w:color="auto" w:fill="auto"/>
            <w:vAlign w:val="center"/>
            <w:hideMark/>
          </w:tcPr>
          <w:p w14:paraId="0AF985E3"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Positivo / desconocido</w:t>
            </w:r>
          </w:p>
        </w:tc>
        <w:tc>
          <w:tcPr>
            <w:tcW w:w="2330" w:type="dxa"/>
            <w:tcBorders>
              <w:top w:val="nil"/>
              <w:left w:val="nil"/>
              <w:bottom w:val="single" w:sz="4" w:space="0" w:color="auto"/>
              <w:right w:val="single" w:sz="4" w:space="0" w:color="auto"/>
            </w:tcBorders>
            <w:shd w:val="clear" w:color="auto" w:fill="auto"/>
            <w:noWrap/>
            <w:vAlign w:val="center"/>
            <w:hideMark/>
          </w:tcPr>
          <w:p w14:paraId="21920A11"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Anti-</w:t>
            </w:r>
            <w:proofErr w:type="spellStart"/>
            <w:r w:rsidRPr="002F0AC5">
              <w:rPr>
                <w:rFonts w:ascii="Arial" w:eastAsia="Times New Roman" w:hAnsi="Arial" w:cs="Arial"/>
                <w:color w:val="000000"/>
                <w:lang w:eastAsia="es-CO"/>
              </w:rPr>
              <w:t>HBs</w:t>
            </w:r>
            <w:proofErr w:type="spellEnd"/>
            <w:r w:rsidRPr="002F0AC5">
              <w:rPr>
                <w:rFonts w:ascii="Arial" w:eastAsia="Times New Roman" w:hAnsi="Arial" w:cs="Arial"/>
                <w:color w:val="000000"/>
                <w:lang w:eastAsia="es-CO"/>
              </w:rPr>
              <w:t xml:space="preserve"> es &lt;10 </w:t>
            </w:r>
            <w:proofErr w:type="spellStart"/>
            <w:r w:rsidRPr="002F0AC5">
              <w:rPr>
                <w:rFonts w:ascii="Arial" w:eastAsia="Times New Roman" w:hAnsi="Arial" w:cs="Arial"/>
                <w:color w:val="000000"/>
                <w:lang w:eastAsia="es-CO"/>
              </w:rPr>
              <w:t>mIU</w:t>
            </w:r>
            <w:proofErr w:type="spellEnd"/>
            <w:r w:rsidRPr="002F0AC5">
              <w:rPr>
                <w:rFonts w:ascii="Arial" w:eastAsia="Times New Roman" w:hAnsi="Arial" w:cs="Arial"/>
                <w:color w:val="000000"/>
                <w:lang w:eastAsia="es-CO"/>
              </w:rPr>
              <w:t>/</w:t>
            </w:r>
            <w:proofErr w:type="spellStart"/>
            <w:r w:rsidRPr="002F0AC5">
              <w:rPr>
                <w:rFonts w:ascii="Arial" w:eastAsia="Times New Roman" w:hAnsi="Arial" w:cs="Arial"/>
                <w:color w:val="000000"/>
                <w:lang w:eastAsia="es-CO"/>
              </w:rPr>
              <w:t>mL</w:t>
            </w:r>
            <w:proofErr w:type="spellEnd"/>
            <w:r w:rsidRPr="002F0AC5">
              <w:rPr>
                <w:rFonts w:ascii="Arial" w:eastAsia="Times New Roman" w:hAnsi="Arial" w:cs="Arial"/>
                <w:color w:val="000000"/>
                <w:lang w:eastAsia="es-CO"/>
              </w:rPr>
              <w:t>.</w:t>
            </w:r>
          </w:p>
        </w:tc>
        <w:tc>
          <w:tcPr>
            <w:tcW w:w="1714" w:type="dxa"/>
            <w:tcBorders>
              <w:top w:val="nil"/>
              <w:left w:val="nil"/>
              <w:bottom w:val="single" w:sz="4" w:space="0" w:color="auto"/>
              <w:right w:val="single" w:sz="4" w:space="0" w:color="auto"/>
            </w:tcBorders>
            <w:shd w:val="clear" w:color="auto" w:fill="auto"/>
            <w:vAlign w:val="center"/>
            <w:hideMark/>
          </w:tcPr>
          <w:p w14:paraId="7A98F548"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Gammaglobulina 1 dosis</w:t>
            </w:r>
          </w:p>
        </w:tc>
        <w:tc>
          <w:tcPr>
            <w:tcW w:w="1484" w:type="dxa"/>
            <w:gridSpan w:val="2"/>
            <w:tcBorders>
              <w:top w:val="nil"/>
              <w:left w:val="nil"/>
              <w:bottom w:val="single" w:sz="4" w:space="0" w:color="auto"/>
              <w:right w:val="single" w:sz="4" w:space="0" w:color="auto"/>
            </w:tcBorders>
            <w:shd w:val="clear" w:color="auto" w:fill="auto"/>
            <w:vAlign w:val="center"/>
            <w:hideMark/>
          </w:tcPr>
          <w:p w14:paraId="5906B375"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Aplicar un segundo esquema de vacunación contra la hepatitis B (3 dosis en esquema 0, 1 y 6 meses</w:t>
            </w:r>
          </w:p>
        </w:tc>
        <w:tc>
          <w:tcPr>
            <w:tcW w:w="1701" w:type="dxa"/>
            <w:tcBorders>
              <w:top w:val="nil"/>
              <w:left w:val="nil"/>
              <w:bottom w:val="single" w:sz="4" w:space="0" w:color="auto"/>
              <w:right w:val="single" w:sz="4" w:space="0" w:color="auto"/>
            </w:tcBorders>
            <w:shd w:val="clear" w:color="auto" w:fill="auto"/>
            <w:noWrap/>
            <w:vAlign w:val="center"/>
            <w:hideMark/>
          </w:tcPr>
          <w:p w14:paraId="711F6359"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r>
      <w:tr w:rsidR="00972FB3" w:rsidRPr="002F0AC5" w14:paraId="611F6713" w14:textId="77777777" w:rsidTr="004338F1">
        <w:trPr>
          <w:trHeight w:val="2226"/>
        </w:trPr>
        <w:tc>
          <w:tcPr>
            <w:tcW w:w="1844" w:type="dxa"/>
            <w:vMerge/>
            <w:tcBorders>
              <w:top w:val="nil"/>
              <w:left w:val="single" w:sz="4" w:space="0" w:color="auto"/>
              <w:bottom w:val="single" w:sz="4" w:space="0" w:color="000000"/>
              <w:right w:val="single" w:sz="4" w:space="0" w:color="auto"/>
            </w:tcBorders>
            <w:vAlign w:val="center"/>
            <w:hideMark/>
          </w:tcPr>
          <w:p w14:paraId="32EB23DE" w14:textId="77777777" w:rsidR="00972FB3" w:rsidRPr="002F0AC5" w:rsidRDefault="00972FB3" w:rsidP="00972FB3">
            <w:pPr>
              <w:spacing w:after="0" w:line="240" w:lineRule="auto"/>
              <w:rPr>
                <w:rFonts w:ascii="Arial" w:eastAsia="Times New Roman" w:hAnsi="Arial" w:cs="Arial"/>
                <w:color w:val="000000"/>
                <w:lang w:eastAsia="es-CO"/>
              </w:rPr>
            </w:pPr>
          </w:p>
        </w:tc>
        <w:tc>
          <w:tcPr>
            <w:tcW w:w="1417" w:type="dxa"/>
            <w:tcBorders>
              <w:top w:val="nil"/>
              <w:left w:val="nil"/>
              <w:bottom w:val="single" w:sz="4" w:space="0" w:color="auto"/>
              <w:right w:val="single" w:sz="4" w:space="0" w:color="auto"/>
            </w:tcBorders>
            <w:shd w:val="clear" w:color="auto" w:fill="auto"/>
            <w:noWrap/>
            <w:vAlign w:val="center"/>
            <w:hideMark/>
          </w:tcPr>
          <w:p w14:paraId="01CBB9D8"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Negativo</w:t>
            </w:r>
          </w:p>
        </w:tc>
        <w:tc>
          <w:tcPr>
            <w:tcW w:w="2330" w:type="dxa"/>
            <w:tcBorders>
              <w:top w:val="nil"/>
              <w:left w:val="nil"/>
              <w:bottom w:val="single" w:sz="4" w:space="0" w:color="auto"/>
              <w:right w:val="single" w:sz="4" w:space="0" w:color="auto"/>
            </w:tcBorders>
            <w:shd w:val="clear" w:color="auto" w:fill="auto"/>
            <w:noWrap/>
            <w:vAlign w:val="center"/>
            <w:hideMark/>
          </w:tcPr>
          <w:p w14:paraId="7FA53DCD"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Anti-</w:t>
            </w:r>
            <w:proofErr w:type="spellStart"/>
            <w:r w:rsidRPr="002F0AC5">
              <w:rPr>
                <w:rFonts w:ascii="Arial" w:eastAsia="Times New Roman" w:hAnsi="Arial" w:cs="Arial"/>
                <w:color w:val="000000"/>
                <w:lang w:eastAsia="es-CO"/>
              </w:rPr>
              <w:t>HBs</w:t>
            </w:r>
            <w:proofErr w:type="spellEnd"/>
            <w:r w:rsidRPr="002F0AC5">
              <w:rPr>
                <w:rFonts w:ascii="Arial" w:eastAsia="Times New Roman" w:hAnsi="Arial" w:cs="Arial"/>
                <w:color w:val="000000"/>
                <w:lang w:eastAsia="es-CO"/>
              </w:rPr>
              <w:t xml:space="preserve"> es &gt;10 </w:t>
            </w:r>
            <w:proofErr w:type="spellStart"/>
            <w:r w:rsidRPr="002F0AC5">
              <w:rPr>
                <w:rFonts w:ascii="Arial" w:eastAsia="Times New Roman" w:hAnsi="Arial" w:cs="Arial"/>
                <w:color w:val="000000"/>
                <w:lang w:eastAsia="es-CO"/>
              </w:rPr>
              <w:t>mIU</w:t>
            </w:r>
            <w:proofErr w:type="spellEnd"/>
            <w:r w:rsidRPr="002F0AC5">
              <w:rPr>
                <w:rFonts w:ascii="Arial" w:eastAsia="Times New Roman" w:hAnsi="Arial" w:cs="Arial"/>
                <w:color w:val="000000"/>
                <w:lang w:eastAsia="es-CO"/>
              </w:rPr>
              <w:t>/Ml</w:t>
            </w:r>
          </w:p>
        </w:tc>
        <w:tc>
          <w:tcPr>
            <w:tcW w:w="1714" w:type="dxa"/>
            <w:tcBorders>
              <w:top w:val="nil"/>
              <w:left w:val="nil"/>
              <w:bottom w:val="single" w:sz="4" w:space="0" w:color="auto"/>
              <w:right w:val="single" w:sz="4" w:space="0" w:color="auto"/>
            </w:tcBorders>
            <w:shd w:val="clear" w:color="auto" w:fill="auto"/>
            <w:vAlign w:val="center"/>
            <w:hideMark/>
          </w:tcPr>
          <w:p w14:paraId="0140D35F"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No se requiere intervención</w:t>
            </w:r>
          </w:p>
        </w:tc>
        <w:tc>
          <w:tcPr>
            <w:tcW w:w="1484" w:type="dxa"/>
            <w:gridSpan w:val="2"/>
            <w:tcBorders>
              <w:top w:val="nil"/>
              <w:left w:val="nil"/>
              <w:bottom w:val="single" w:sz="4" w:space="0" w:color="auto"/>
              <w:right w:val="single" w:sz="4" w:space="0" w:color="auto"/>
            </w:tcBorders>
            <w:shd w:val="clear" w:color="auto" w:fill="auto"/>
            <w:vAlign w:val="center"/>
            <w:hideMark/>
          </w:tcPr>
          <w:p w14:paraId="2EF98B4D"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Aplicar un segundo esquema de vacunación contra la hepatitis B (3 dosis en esquema 0, 1 y 6 meses</w:t>
            </w:r>
          </w:p>
        </w:tc>
        <w:tc>
          <w:tcPr>
            <w:tcW w:w="1701" w:type="dxa"/>
            <w:tcBorders>
              <w:top w:val="nil"/>
              <w:left w:val="nil"/>
              <w:bottom w:val="single" w:sz="4" w:space="0" w:color="auto"/>
              <w:right w:val="single" w:sz="4" w:space="0" w:color="auto"/>
            </w:tcBorders>
            <w:shd w:val="clear" w:color="auto" w:fill="auto"/>
            <w:noWrap/>
            <w:vAlign w:val="center"/>
            <w:hideMark/>
          </w:tcPr>
          <w:p w14:paraId="3661CDC2"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r>
      <w:tr w:rsidR="00972FB3" w:rsidRPr="002F0AC5" w14:paraId="6C95CCFA" w14:textId="77777777" w:rsidTr="004338F1">
        <w:trPr>
          <w:trHeight w:val="600"/>
        </w:trPr>
        <w:tc>
          <w:tcPr>
            <w:tcW w:w="1844" w:type="dxa"/>
            <w:vMerge/>
            <w:tcBorders>
              <w:top w:val="nil"/>
              <w:left w:val="single" w:sz="4" w:space="0" w:color="auto"/>
              <w:bottom w:val="single" w:sz="4" w:space="0" w:color="000000"/>
              <w:right w:val="single" w:sz="4" w:space="0" w:color="auto"/>
            </w:tcBorders>
            <w:vAlign w:val="center"/>
            <w:hideMark/>
          </w:tcPr>
          <w:p w14:paraId="0CC23319" w14:textId="77777777" w:rsidR="00972FB3" w:rsidRPr="002F0AC5" w:rsidRDefault="00972FB3" w:rsidP="00972FB3">
            <w:pPr>
              <w:spacing w:after="0" w:line="240" w:lineRule="auto"/>
              <w:rPr>
                <w:rFonts w:ascii="Arial" w:eastAsia="Times New Roman" w:hAnsi="Arial" w:cs="Arial"/>
                <w:color w:val="000000"/>
                <w:lang w:eastAsia="es-CO"/>
              </w:rPr>
            </w:pPr>
          </w:p>
        </w:tc>
        <w:tc>
          <w:tcPr>
            <w:tcW w:w="1417" w:type="dxa"/>
            <w:tcBorders>
              <w:top w:val="nil"/>
              <w:left w:val="nil"/>
              <w:bottom w:val="single" w:sz="4" w:space="0" w:color="auto"/>
              <w:right w:val="single" w:sz="4" w:space="0" w:color="auto"/>
            </w:tcBorders>
            <w:shd w:val="clear" w:color="auto" w:fill="auto"/>
            <w:vAlign w:val="center"/>
            <w:hideMark/>
          </w:tcPr>
          <w:p w14:paraId="112F0ED7"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Positivo / desconocido / negativo</w:t>
            </w:r>
          </w:p>
        </w:tc>
        <w:tc>
          <w:tcPr>
            <w:tcW w:w="2330" w:type="dxa"/>
            <w:tcBorders>
              <w:top w:val="nil"/>
              <w:left w:val="nil"/>
              <w:bottom w:val="single" w:sz="4" w:space="0" w:color="auto"/>
              <w:right w:val="single" w:sz="4" w:space="0" w:color="auto"/>
            </w:tcBorders>
            <w:shd w:val="clear" w:color="auto" w:fill="auto"/>
            <w:vAlign w:val="center"/>
            <w:hideMark/>
          </w:tcPr>
          <w:p w14:paraId="55590FE4"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Anti-</w:t>
            </w:r>
            <w:proofErr w:type="spellStart"/>
            <w:r w:rsidRPr="002F0AC5">
              <w:rPr>
                <w:rFonts w:ascii="Arial" w:eastAsia="Times New Roman" w:hAnsi="Arial" w:cs="Arial"/>
                <w:color w:val="000000"/>
                <w:lang w:eastAsia="es-CO"/>
              </w:rPr>
              <w:t>HBs</w:t>
            </w:r>
            <w:proofErr w:type="spellEnd"/>
            <w:r w:rsidRPr="002F0AC5">
              <w:rPr>
                <w:rFonts w:ascii="Arial" w:eastAsia="Times New Roman" w:hAnsi="Arial" w:cs="Arial"/>
                <w:color w:val="000000"/>
                <w:lang w:eastAsia="es-CO"/>
              </w:rPr>
              <w:t xml:space="preserve"> es &gt;10</w:t>
            </w:r>
            <w:r w:rsidRPr="002F0AC5">
              <w:rPr>
                <w:rFonts w:ascii="Arial" w:eastAsia="Times New Roman" w:hAnsi="Arial" w:cs="Arial"/>
                <w:color w:val="000000"/>
                <w:lang w:eastAsia="es-CO"/>
              </w:rPr>
              <w:br/>
            </w:r>
            <w:proofErr w:type="spellStart"/>
            <w:r w:rsidRPr="002F0AC5">
              <w:rPr>
                <w:rFonts w:ascii="Arial" w:eastAsia="Times New Roman" w:hAnsi="Arial" w:cs="Arial"/>
                <w:color w:val="000000"/>
                <w:lang w:eastAsia="es-CO"/>
              </w:rPr>
              <w:t>mIU</w:t>
            </w:r>
            <w:proofErr w:type="spellEnd"/>
            <w:r w:rsidRPr="002F0AC5">
              <w:rPr>
                <w:rFonts w:ascii="Arial" w:eastAsia="Times New Roman" w:hAnsi="Arial" w:cs="Arial"/>
                <w:color w:val="000000"/>
                <w:lang w:eastAsia="es-CO"/>
              </w:rPr>
              <w:t>/</w:t>
            </w:r>
            <w:proofErr w:type="spellStart"/>
            <w:r w:rsidRPr="002F0AC5">
              <w:rPr>
                <w:rFonts w:ascii="Arial" w:eastAsia="Times New Roman" w:hAnsi="Arial" w:cs="Arial"/>
                <w:color w:val="000000"/>
                <w:lang w:eastAsia="es-CO"/>
              </w:rPr>
              <w:t>mL</w:t>
            </w:r>
            <w:proofErr w:type="spellEnd"/>
          </w:p>
        </w:tc>
        <w:tc>
          <w:tcPr>
            <w:tcW w:w="489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4C38A19"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No se requiere intervención.</w:t>
            </w:r>
          </w:p>
        </w:tc>
      </w:tr>
      <w:tr w:rsidR="00972FB3" w:rsidRPr="002F0AC5" w14:paraId="2B0F6437" w14:textId="77777777" w:rsidTr="004338F1">
        <w:trPr>
          <w:trHeight w:val="1020"/>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49E5823D" w14:textId="2F144A78"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 xml:space="preserve">No vacunado, con esquema </w:t>
            </w:r>
            <w:r w:rsidR="004338F1" w:rsidRPr="002F0AC5">
              <w:rPr>
                <w:rFonts w:ascii="Arial" w:eastAsia="Times New Roman" w:hAnsi="Arial" w:cs="Arial"/>
                <w:color w:val="000000"/>
                <w:lang w:eastAsia="es-CO"/>
              </w:rPr>
              <w:t>incompleto o</w:t>
            </w:r>
            <w:r w:rsidRPr="002F0AC5">
              <w:rPr>
                <w:rFonts w:ascii="Arial" w:eastAsia="Times New Roman" w:hAnsi="Arial" w:cs="Arial"/>
                <w:color w:val="000000"/>
                <w:lang w:eastAsia="es-CO"/>
              </w:rPr>
              <w:t xml:space="preserve"> rechaza la vacunación</w:t>
            </w:r>
          </w:p>
        </w:tc>
        <w:tc>
          <w:tcPr>
            <w:tcW w:w="1417" w:type="dxa"/>
            <w:tcBorders>
              <w:top w:val="nil"/>
              <w:left w:val="nil"/>
              <w:bottom w:val="single" w:sz="4" w:space="0" w:color="auto"/>
              <w:right w:val="single" w:sz="4" w:space="0" w:color="auto"/>
            </w:tcBorders>
            <w:shd w:val="clear" w:color="auto" w:fill="auto"/>
            <w:noWrap/>
            <w:vAlign w:val="center"/>
            <w:hideMark/>
          </w:tcPr>
          <w:p w14:paraId="04C23BE6"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Positivo / desconocido</w:t>
            </w:r>
          </w:p>
        </w:tc>
        <w:tc>
          <w:tcPr>
            <w:tcW w:w="2330" w:type="dxa"/>
            <w:tcBorders>
              <w:top w:val="nil"/>
              <w:left w:val="nil"/>
              <w:bottom w:val="single" w:sz="4" w:space="0" w:color="auto"/>
              <w:right w:val="single" w:sz="4" w:space="0" w:color="auto"/>
            </w:tcBorders>
            <w:shd w:val="clear" w:color="auto" w:fill="auto"/>
            <w:noWrap/>
            <w:vAlign w:val="center"/>
            <w:hideMark/>
          </w:tcPr>
          <w:p w14:paraId="2A80A2F3" w14:textId="38799C76" w:rsidR="00972FB3" w:rsidRPr="002F0AC5" w:rsidRDefault="00972FB3" w:rsidP="004338F1">
            <w:pPr>
              <w:spacing w:after="0" w:line="240" w:lineRule="auto"/>
              <w:jc w:val="center"/>
              <w:rPr>
                <w:rFonts w:ascii="Arial" w:eastAsia="Times New Roman" w:hAnsi="Arial" w:cs="Arial"/>
                <w:color w:val="000000"/>
                <w:lang w:eastAsia="es-CO"/>
              </w:rPr>
            </w:pPr>
          </w:p>
        </w:tc>
        <w:tc>
          <w:tcPr>
            <w:tcW w:w="1714" w:type="dxa"/>
            <w:tcBorders>
              <w:top w:val="nil"/>
              <w:left w:val="nil"/>
              <w:bottom w:val="single" w:sz="4" w:space="0" w:color="auto"/>
              <w:right w:val="single" w:sz="4" w:space="0" w:color="auto"/>
            </w:tcBorders>
            <w:shd w:val="clear" w:color="auto" w:fill="auto"/>
            <w:vAlign w:val="center"/>
            <w:hideMark/>
          </w:tcPr>
          <w:p w14:paraId="23F80731"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Gammaglobulina 1 dosis&amp;&amp;&amp;</w:t>
            </w:r>
          </w:p>
        </w:tc>
        <w:tc>
          <w:tcPr>
            <w:tcW w:w="1484" w:type="dxa"/>
            <w:gridSpan w:val="2"/>
            <w:tcBorders>
              <w:top w:val="nil"/>
              <w:left w:val="nil"/>
              <w:bottom w:val="single" w:sz="4" w:space="0" w:color="auto"/>
              <w:right w:val="single" w:sz="4" w:space="0" w:color="auto"/>
            </w:tcBorders>
            <w:shd w:val="clear" w:color="auto" w:fill="auto"/>
            <w:vAlign w:val="center"/>
            <w:hideMark/>
          </w:tcPr>
          <w:p w14:paraId="7D389E24"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Iniciar o completar el esquema de vacunación</w:t>
            </w:r>
          </w:p>
        </w:tc>
        <w:tc>
          <w:tcPr>
            <w:tcW w:w="1701" w:type="dxa"/>
            <w:tcBorders>
              <w:top w:val="nil"/>
              <w:left w:val="nil"/>
              <w:bottom w:val="single" w:sz="4" w:space="0" w:color="auto"/>
              <w:right w:val="single" w:sz="4" w:space="0" w:color="auto"/>
            </w:tcBorders>
            <w:shd w:val="clear" w:color="auto" w:fill="auto"/>
            <w:noWrap/>
            <w:vAlign w:val="center"/>
            <w:hideMark/>
          </w:tcPr>
          <w:p w14:paraId="0017C5E4"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r>
      <w:tr w:rsidR="00972FB3" w:rsidRPr="002F0AC5" w14:paraId="5E30F928" w14:textId="77777777" w:rsidTr="004338F1">
        <w:trPr>
          <w:trHeight w:val="979"/>
        </w:trPr>
        <w:tc>
          <w:tcPr>
            <w:tcW w:w="1844" w:type="dxa"/>
            <w:vMerge/>
            <w:tcBorders>
              <w:top w:val="nil"/>
              <w:left w:val="single" w:sz="4" w:space="0" w:color="auto"/>
              <w:bottom w:val="single" w:sz="4" w:space="0" w:color="000000"/>
              <w:right w:val="single" w:sz="4" w:space="0" w:color="auto"/>
            </w:tcBorders>
            <w:vAlign w:val="center"/>
            <w:hideMark/>
          </w:tcPr>
          <w:p w14:paraId="08846827" w14:textId="77777777" w:rsidR="00972FB3" w:rsidRPr="002F0AC5" w:rsidRDefault="00972FB3" w:rsidP="004338F1">
            <w:pPr>
              <w:spacing w:after="0" w:line="240" w:lineRule="auto"/>
              <w:jc w:val="center"/>
              <w:rPr>
                <w:rFonts w:ascii="Arial" w:eastAsia="Times New Roman" w:hAnsi="Arial" w:cs="Arial"/>
                <w:color w:val="000000"/>
                <w:lang w:eastAsia="es-CO"/>
              </w:rPr>
            </w:pPr>
          </w:p>
        </w:tc>
        <w:tc>
          <w:tcPr>
            <w:tcW w:w="1417" w:type="dxa"/>
            <w:tcBorders>
              <w:top w:val="nil"/>
              <w:left w:val="nil"/>
              <w:bottom w:val="single" w:sz="4" w:space="0" w:color="auto"/>
              <w:right w:val="single" w:sz="4" w:space="0" w:color="auto"/>
            </w:tcBorders>
            <w:shd w:val="clear" w:color="auto" w:fill="auto"/>
            <w:noWrap/>
            <w:vAlign w:val="center"/>
            <w:hideMark/>
          </w:tcPr>
          <w:p w14:paraId="5A9C5CEF"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Negativo</w:t>
            </w:r>
          </w:p>
        </w:tc>
        <w:tc>
          <w:tcPr>
            <w:tcW w:w="2330" w:type="dxa"/>
            <w:tcBorders>
              <w:top w:val="nil"/>
              <w:left w:val="nil"/>
              <w:bottom w:val="single" w:sz="4" w:space="0" w:color="auto"/>
              <w:right w:val="single" w:sz="4" w:space="0" w:color="auto"/>
            </w:tcBorders>
            <w:shd w:val="clear" w:color="auto" w:fill="auto"/>
            <w:noWrap/>
            <w:vAlign w:val="center"/>
            <w:hideMark/>
          </w:tcPr>
          <w:p w14:paraId="3BA62294" w14:textId="2C741D8E" w:rsidR="00972FB3" w:rsidRPr="002F0AC5" w:rsidRDefault="00972FB3" w:rsidP="004338F1">
            <w:pPr>
              <w:spacing w:after="0" w:line="240" w:lineRule="auto"/>
              <w:jc w:val="center"/>
              <w:rPr>
                <w:rFonts w:ascii="Arial" w:eastAsia="Times New Roman" w:hAnsi="Arial" w:cs="Arial"/>
                <w:color w:val="000000"/>
                <w:lang w:eastAsia="es-CO"/>
              </w:rPr>
            </w:pPr>
          </w:p>
        </w:tc>
        <w:tc>
          <w:tcPr>
            <w:tcW w:w="1714" w:type="dxa"/>
            <w:tcBorders>
              <w:top w:val="nil"/>
              <w:left w:val="nil"/>
              <w:bottom w:val="single" w:sz="4" w:space="0" w:color="auto"/>
              <w:right w:val="single" w:sz="4" w:space="0" w:color="auto"/>
            </w:tcBorders>
            <w:shd w:val="clear" w:color="auto" w:fill="auto"/>
            <w:noWrap/>
            <w:vAlign w:val="center"/>
            <w:hideMark/>
          </w:tcPr>
          <w:p w14:paraId="6F8954DD"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NO</w:t>
            </w:r>
          </w:p>
        </w:tc>
        <w:tc>
          <w:tcPr>
            <w:tcW w:w="1484" w:type="dxa"/>
            <w:gridSpan w:val="2"/>
            <w:tcBorders>
              <w:top w:val="nil"/>
              <w:left w:val="nil"/>
              <w:bottom w:val="single" w:sz="4" w:space="0" w:color="auto"/>
              <w:right w:val="single" w:sz="4" w:space="0" w:color="auto"/>
            </w:tcBorders>
            <w:shd w:val="clear" w:color="auto" w:fill="auto"/>
            <w:vAlign w:val="center"/>
            <w:hideMark/>
          </w:tcPr>
          <w:p w14:paraId="02899EF8" w14:textId="77777777" w:rsidR="00972FB3" w:rsidRPr="002F0AC5" w:rsidRDefault="00972FB3"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Iniciar o completar el esquema de vacunación</w:t>
            </w:r>
          </w:p>
        </w:tc>
        <w:tc>
          <w:tcPr>
            <w:tcW w:w="1701" w:type="dxa"/>
            <w:tcBorders>
              <w:top w:val="nil"/>
              <w:left w:val="nil"/>
              <w:bottom w:val="single" w:sz="4" w:space="0" w:color="auto"/>
              <w:right w:val="single" w:sz="4" w:space="0" w:color="auto"/>
            </w:tcBorders>
            <w:shd w:val="clear" w:color="auto" w:fill="auto"/>
            <w:noWrap/>
            <w:vAlign w:val="center"/>
            <w:hideMark/>
          </w:tcPr>
          <w:p w14:paraId="74A44D28" w14:textId="7D9E9D62" w:rsidR="00972FB3" w:rsidRPr="002F0AC5" w:rsidRDefault="00972FB3" w:rsidP="004338F1">
            <w:pPr>
              <w:spacing w:after="0" w:line="240" w:lineRule="auto"/>
              <w:jc w:val="center"/>
              <w:rPr>
                <w:rFonts w:ascii="Arial" w:eastAsia="Times New Roman" w:hAnsi="Arial" w:cs="Arial"/>
                <w:color w:val="000000"/>
                <w:lang w:eastAsia="es-CO"/>
              </w:rPr>
            </w:pPr>
          </w:p>
        </w:tc>
      </w:tr>
    </w:tbl>
    <w:p w14:paraId="253BADA6" w14:textId="77777777" w:rsidR="00CE3180" w:rsidRPr="002F0AC5" w:rsidRDefault="00AE3D35" w:rsidP="00532CAC">
      <w:pPr>
        <w:pStyle w:val="Ttulo1"/>
        <w:numPr>
          <w:ilvl w:val="0"/>
          <w:numId w:val="6"/>
        </w:numPr>
        <w:jc w:val="both"/>
      </w:pPr>
      <w:bookmarkStart w:id="15" w:name="_Toc32502175"/>
      <w:r w:rsidRPr="002F0AC5">
        <w:t>SEGUIMIENTO PARACLÍNICO DE LAS PERSONAS CON EXPOSICIÓN DE RIESGO ANTE EL VIH Y HEPATITIS B Y C</w:t>
      </w:r>
      <w:bookmarkEnd w:id="15"/>
    </w:p>
    <w:p w14:paraId="7D8172EC" w14:textId="77777777" w:rsidR="00CE3180" w:rsidRPr="002F0AC5" w:rsidRDefault="00CE3180" w:rsidP="00A77451">
      <w:pPr>
        <w:autoSpaceDE w:val="0"/>
        <w:autoSpaceDN w:val="0"/>
        <w:adjustRightInd w:val="0"/>
        <w:spacing w:after="0" w:line="240" w:lineRule="auto"/>
        <w:jc w:val="both"/>
        <w:rPr>
          <w:rFonts w:ascii="Arial" w:eastAsia="ArialMT" w:hAnsi="Arial" w:cs="Arial"/>
        </w:rPr>
      </w:pPr>
    </w:p>
    <w:tbl>
      <w:tblPr>
        <w:tblW w:w="9555" w:type="dxa"/>
        <w:tblInd w:w="75" w:type="dxa"/>
        <w:tblCellMar>
          <w:left w:w="70" w:type="dxa"/>
          <w:right w:w="70" w:type="dxa"/>
        </w:tblCellMar>
        <w:tblLook w:val="04A0" w:firstRow="1" w:lastRow="0" w:firstColumn="1" w:lastColumn="0" w:noHBand="0" w:noVBand="1"/>
      </w:tblPr>
      <w:tblGrid>
        <w:gridCol w:w="2074"/>
        <w:gridCol w:w="1532"/>
        <w:gridCol w:w="1134"/>
        <w:gridCol w:w="1082"/>
        <w:gridCol w:w="1082"/>
        <w:gridCol w:w="1238"/>
        <w:gridCol w:w="1413"/>
      </w:tblGrid>
      <w:tr w:rsidR="00BE00A1" w:rsidRPr="002F0AC5" w14:paraId="6ACEF0D5" w14:textId="77777777" w:rsidTr="004338F1">
        <w:trPr>
          <w:trHeight w:val="983"/>
        </w:trPr>
        <w:tc>
          <w:tcPr>
            <w:tcW w:w="207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A22BBB9" w14:textId="77777777" w:rsidR="00BE00A1" w:rsidRPr="004338F1" w:rsidRDefault="00BE00A1"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Tipo de análisis</w:t>
            </w:r>
          </w:p>
        </w:tc>
        <w:tc>
          <w:tcPr>
            <w:tcW w:w="153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18888F0" w14:textId="77777777" w:rsidR="00BE00A1" w:rsidRPr="004338F1" w:rsidRDefault="00BE00A1"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Al momento de la profilaxis (Basal)</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DFA4C21" w14:textId="77777777" w:rsidR="00BE00A1" w:rsidRPr="004338F1" w:rsidRDefault="00BE00A1"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Según síntomas</w:t>
            </w:r>
          </w:p>
        </w:tc>
        <w:tc>
          <w:tcPr>
            <w:tcW w:w="108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647923E" w14:textId="77777777" w:rsidR="00BE00A1" w:rsidRPr="004338F1" w:rsidRDefault="00BE00A1"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2 semanas</w:t>
            </w:r>
          </w:p>
        </w:tc>
        <w:tc>
          <w:tcPr>
            <w:tcW w:w="108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2C1F891" w14:textId="77777777" w:rsidR="00BE00A1" w:rsidRPr="004338F1" w:rsidRDefault="00BE00A1"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4 -6 semanas</w:t>
            </w:r>
          </w:p>
        </w:tc>
        <w:tc>
          <w:tcPr>
            <w:tcW w:w="123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6699450" w14:textId="77777777" w:rsidR="00BE00A1" w:rsidRPr="004338F1" w:rsidRDefault="00BE00A1"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12 semanas (3 meses)</w:t>
            </w:r>
          </w:p>
        </w:tc>
        <w:tc>
          <w:tcPr>
            <w:tcW w:w="141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B6B9F65" w14:textId="77777777" w:rsidR="00BE00A1" w:rsidRPr="004338F1" w:rsidRDefault="00BE00A1"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24 semanas (6 meses)</w:t>
            </w:r>
          </w:p>
        </w:tc>
      </w:tr>
      <w:tr w:rsidR="00BE00A1" w:rsidRPr="002F0AC5" w14:paraId="5B6BE0C9" w14:textId="77777777" w:rsidTr="004338F1">
        <w:trPr>
          <w:trHeight w:val="955"/>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1FFA010F" w14:textId="77777777" w:rsidR="00BE00A1" w:rsidRPr="002F0AC5" w:rsidRDefault="00BE00A1" w:rsidP="00BE00A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Prueba de VIH de Anticuerpos, rápida o ELISA convencional</w:t>
            </w:r>
          </w:p>
        </w:tc>
        <w:tc>
          <w:tcPr>
            <w:tcW w:w="1532" w:type="dxa"/>
            <w:tcBorders>
              <w:top w:val="nil"/>
              <w:left w:val="nil"/>
              <w:bottom w:val="single" w:sz="4" w:space="0" w:color="auto"/>
              <w:right w:val="single" w:sz="4" w:space="0" w:color="auto"/>
            </w:tcBorders>
            <w:shd w:val="clear" w:color="auto" w:fill="auto"/>
            <w:noWrap/>
            <w:vAlign w:val="center"/>
            <w:hideMark/>
          </w:tcPr>
          <w:p w14:paraId="550762A8"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1134" w:type="dxa"/>
            <w:tcBorders>
              <w:top w:val="nil"/>
              <w:left w:val="nil"/>
              <w:bottom w:val="single" w:sz="4" w:space="0" w:color="auto"/>
              <w:right w:val="single" w:sz="4" w:space="0" w:color="auto"/>
            </w:tcBorders>
            <w:shd w:val="clear" w:color="auto" w:fill="auto"/>
            <w:noWrap/>
            <w:vAlign w:val="center"/>
            <w:hideMark/>
          </w:tcPr>
          <w:p w14:paraId="1760A871" w14:textId="0337912F" w:rsidR="00BE00A1" w:rsidRPr="002F0AC5" w:rsidRDefault="00BE00A1" w:rsidP="004338F1">
            <w:pPr>
              <w:spacing w:after="0" w:line="240" w:lineRule="auto"/>
              <w:jc w:val="center"/>
              <w:rPr>
                <w:rFonts w:ascii="Arial" w:eastAsia="Times New Roman" w:hAnsi="Arial" w:cs="Arial"/>
                <w:color w:val="000000"/>
                <w:lang w:eastAsia="es-CO"/>
              </w:rPr>
            </w:pPr>
          </w:p>
        </w:tc>
        <w:tc>
          <w:tcPr>
            <w:tcW w:w="1082" w:type="dxa"/>
            <w:tcBorders>
              <w:top w:val="nil"/>
              <w:left w:val="nil"/>
              <w:bottom w:val="single" w:sz="4" w:space="0" w:color="auto"/>
              <w:right w:val="single" w:sz="4" w:space="0" w:color="auto"/>
            </w:tcBorders>
            <w:shd w:val="clear" w:color="auto" w:fill="auto"/>
            <w:noWrap/>
            <w:vAlign w:val="center"/>
            <w:hideMark/>
          </w:tcPr>
          <w:p w14:paraId="722AAF9E" w14:textId="05C9651C" w:rsidR="00BE00A1" w:rsidRPr="002F0AC5" w:rsidRDefault="00BE00A1" w:rsidP="004338F1">
            <w:pPr>
              <w:spacing w:after="0" w:line="240" w:lineRule="auto"/>
              <w:jc w:val="center"/>
              <w:rPr>
                <w:rFonts w:ascii="Arial" w:eastAsia="Times New Roman" w:hAnsi="Arial" w:cs="Arial"/>
                <w:color w:val="000000"/>
                <w:lang w:eastAsia="es-CO"/>
              </w:rPr>
            </w:pPr>
          </w:p>
        </w:tc>
        <w:tc>
          <w:tcPr>
            <w:tcW w:w="1082" w:type="dxa"/>
            <w:tcBorders>
              <w:top w:val="nil"/>
              <w:left w:val="nil"/>
              <w:bottom w:val="single" w:sz="4" w:space="0" w:color="auto"/>
              <w:right w:val="single" w:sz="4" w:space="0" w:color="auto"/>
            </w:tcBorders>
            <w:shd w:val="clear" w:color="auto" w:fill="auto"/>
            <w:noWrap/>
            <w:vAlign w:val="center"/>
            <w:hideMark/>
          </w:tcPr>
          <w:p w14:paraId="6AA045EB" w14:textId="1A389D06" w:rsidR="00BE00A1" w:rsidRPr="002F0AC5" w:rsidRDefault="00BE00A1" w:rsidP="004338F1">
            <w:pPr>
              <w:spacing w:after="0" w:line="240" w:lineRule="auto"/>
              <w:jc w:val="center"/>
              <w:rPr>
                <w:rFonts w:ascii="Arial" w:eastAsia="Times New Roman" w:hAnsi="Arial" w:cs="Arial"/>
                <w:color w:val="000000"/>
                <w:lang w:eastAsia="es-CO"/>
              </w:rPr>
            </w:pPr>
          </w:p>
        </w:tc>
        <w:tc>
          <w:tcPr>
            <w:tcW w:w="1238" w:type="dxa"/>
            <w:tcBorders>
              <w:top w:val="nil"/>
              <w:left w:val="nil"/>
              <w:bottom w:val="single" w:sz="4" w:space="0" w:color="auto"/>
              <w:right w:val="single" w:sz="4" w:space="0" w:color="auto"/>
            </w:tcBorders>
            <w:shd w:val="clear" w:color="auto" w:fill="auto"/>
            <w:noWrap/>
            <w:vAlign w:val="center"/>
            <w:hideMark/>
          </w:tcPr>
          <w:p w14:paraId="21A73C96"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1413" w:type="dxa"/>
            <w:tcBorders>
              <w:top w:val="nil"/>
              <w:left w:val="nil"/>
              <w:bottom w:val="single" w:sz="4" w:space="0" w:color="auto"/>
              <w:right w:val="single" w:sz="4" w:space="0" w:color="auto"/>
            </w:tcBorders>
            <w:shd w:val="clear" w:color="auto" w:fill="auto"/>
            <w:noWrap/>
            <w:vAlign w:val="center"/>
            <w:hideMark/>
          </w:tcPr>
          <w:p w14:paraId="27CC15C5"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r>
      <w:tr w:rsidR="00BE00A1" w:rsidRPr="002F0AC5" w14:paraId="2053F726" w14:textId="77777777" w:rsidTr="004338F1">
        <w:trPr>
          <w:trHeight w:val="1298"/>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549B5E07" w14:textId="77777777" w:rsidR="00BE00A1" w:rsidRPr="002F0AC5" w:rsidRDefault="00BE00A1" w:rsidP="00BE00A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Analítica general: Cuadro hemático, función renal, función hepática. Glicemia</w:t>
            </w:r>
          </w:p>
        </w:tc>
        <w:tc>
          <w:tcPr>
            <w:tcW w:w="1532" w:type="dxa"/>
            <w:tcBorders>
              <w:top w:val="nil"/>
              <w:left w:val="nil"/>
              <w:bottom w:val="single" w:sz="4" w:space="0" w:color="auto"/>
              <w:right w:val="single" w:sz="4" w:space="0" w:color="auto"/>
            </w:tcBorders>
            <w:shd w:val="clear" w:color="auto" w:fill="auto"/>
            <w:noWrap/>
            <w:vAlign w:val="center"/>
            <w:hideMark/>
          </w:tcPr>
          <w:p w14:paraId="677318AB"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1134" w:type="dxa"/>
            <w:tcBorders>
              <w:top w:val="nil"/>
              <w:left w:val="nil"/>
              <w:bottom w:val="single" w:sz="4" w:space="0" w:color="auto"/>
              <w:right w:val="single" w:sz="4" w:space="0" w:color="auto"/>
            </w:tcBorders>
            <w:shd w:val="clear" w:color="auto" w:fill="auto"/>
            <w:noWrap/>
            <w:vAlign w:val="center"/>
            <w:hideMark/>
          </w:tcPr>
          <w:p w14:paraId="45864810"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1082" w:type="dxa"/>
            <w:tcBorders>
              <w:top w:val="nil"/>
              <w:left w:val="nil"/>
              <w:bottom w:val="single" w:sz="4" w:space="0" w:color="auto"/>
              <w:right w:val="single" w:sz="4" w:space="0" w:color="auto"/>
            </w:tcBorders>
            <w:shd w:val="clear" w:color="auto" w:fill="auto"/>
            <w:noWrap/>
            <w:vAlign w:val="center"/>
            <w:hideMark/>
          </w:tcPr>
          <w:p w14:paraId="4B8775E3"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1082" w:type="dxa"/>
            <w:tcBorders>
              <w:top w:val="nil"/>
              <w:left w:val="nil"/>
              <w:bottom w:val="single" w:sz="4" w:space="0" w:color="auto"/>
              <w:right w:val="single" w:sz="4" w:space="0" w:color="auto"/>
            </w:tcBorders>
            <w:shd w:val="clear" w:color="auto" w:fill="auto"/>
            <w:noWrap/>
            <w:vAlign w:val="center"/>
            <w:hideMark/>
          </w:tcPr>
          <w:p w14:paraId="26C26AC5"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1238" w:type="dxa"/>
            <w:tcBorders>
              <w:top w:val="nil"/>
              <w:left w:val="nil"/>
              <w:bottom w:val="single" w:sz="4" w:space="0" w:color="auto"/>
              <w:right w:val="single" w:sz="4" w:space="0" w:color="auto"/>
            </w:tcBorders>
            <w:shd w:val="clear" w:color="auto" w:fill="auto"/>
            <w:noWrap/>
            <w:vAlign w:val="center"/>
            <w:hideMark/>
          </w:tcPr>
          <w:p w14:paraId="0B86D139" w14:textId="08EC9BFB" w:rsidR="00BE00A1" w:rsidRPr="002F0AC5" w:rsidRDefault="00BE00A1" w:rsidP="004338F1">
            <w:pPr>
              <w:spacing w:after="0" w:line="240" w:lineRule="auto"/>
              <w:jc w:val="center"/>
              <w:rPr>
                <w:rFonts w:ascii="Arial" w:eastAsia="Times New Roman" w:hAnsi="Arial" w:cs="Arial"/>
                <w:color w:val="000000"/>
                <w:lang w:eastAsia="es-CO"/>
              </w:rPr>
            </w:pPr>
          </w:p>
        </w:tc>
        <w:tc>
          <w:tcPr>
            <w:tcW w:w="1413" w:type="dxa"/>
            <w:tcBorders>
              <w:top w:val="nil"/>
              <w:left w:val="nil"/>
              <w:bottom w:val="single" w:sz="4" w:space="0" w:color="auto"/>
              <w:right w:val="single" w:sz="4" w:space="0" w:color="auto"/>
            </w:tcBorders>
            <w:shd w:val="clear" w:color="auto" w:fill="auto"/>
            <w:noWrap/>
            <w:vAlign w:val="center"/>
            <w:hideMark/>
          </w:tcPr>
          <w:p w14:paraId="4E154063" w14:textId="7828A83C" w:rsidR="00BE00A1" w:rsidRPr="002F0AC5" w:rsidRDefault="00BE00A1" w:rsidP="004338F1">
            <w:pPr>
              <w:spacing w:after="0" w:line="240" w:lineRule="auto"/>
              <w:jc w:val="center"/>
              <w:rPr>
                <w:rFonts w:ascii="Arial" w:eastAsia="Times New Roman" w:hAnsi="Arial" w:cs="Arial"/>
                <w:color w:val="000000"/>
                <w:lang w:eastAsia="es-CO"/>
              </w:rPr>
            </w:pPr>
          </w:p>
        </w:tc>
      </w:tr>
      <w:tr w:rsidR="00BE00A1" w:rsidRPr="002F0AC5" w14:paraId="62D4627F" w14:textId="77777777" w:rsidTr="004338F1">
        <w:trPr>
          <w:trHeight w:val="605"/>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503D36D5" w14:textId="77777777" w:rsidR="00BE00A1" w:rsidRPr="002F0AC5" w:rsidRDefault="00BE00A1" w:rsidP="00BE00A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Carga viral para VIH</w:t>
            </w:r>
          </w:p>
        </w:tc>
        <w:tc>
          <w:tcPr>
            <w:tcW w:w="1532" w:type="dxa"/>
            <w:tcBorders>
              <w:top w:val="nil"/>
              <w:left w:val="nil"/>
              <w:bottom w:val="single" w:sz="4" w:space="0" w:color="auto"/>
              <w:right w:val="single" w:sz="4" w:space="0" w:color="auto"/>
            </w:tcBorders>
            <w:shd w:val="clear" w:color="auto" w:fill="auto"/>
            <w:noWrap/>
            <w:vAlign w:val="center"/>
            <w:hideMark/>
          </w:tcPr>
          <w:p w14:paraId="576D74E6" w14:textId="4ACB0942" w:rsidR="00BE00A1" w:rsidRPr="002F0AC5" w:rsidRDefault="00BE00A1" w:rsidP="004338F1">
            <w:pPr>
              <w:spacing w:after="0" w:line="240" w:lineRule="auto"/>
              <w:jc w:val="center"/>
              <w:rPr>
                <w:rFonts w:ascii="Arial" w:eastAsia="Times New Roman" w:hAnsi="Arial" w:cs="Arial"/>
                <w:color w:val="000000"/>
                <w:lang w:eastAsia="es-CO"/>
              </w:rPr>
            </w:pPr>
          </w:p>
        </w:tc>
        <w:tc>
          <w:tcPr>
            <w:tcW w:w="3298" w:type="dxa"/>
            <w:gridSpan w:val="3"/>
            <w:tcBorders>
              <w:top w:val="single" w:sz="4" w:space="0" w:color="auto"/>
              <w:left w:val="nil"/>
              <w:bottom w:val="single" w:sz="4" w:space="0" w:color="auto"/>
              <w:right w:val="single" w:sz="4" w:space="0" w:color="000000"/>
            </w:tcBorders>
            <w:shd w:val="clear" w:color="auto" w:fill="auto"/>
            <w:vAlign w:val="center"/>
            <w:hideMark/>
          </w:tcPr>
          <w:p w14:paraId="1D2A8E7F"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Ante síntomas relacionados con Síndrome retroviral agudo</w:t>
            </w:r>
          </w:p>
        </w:tc>
        <w:tc>
          <w:tcPr>
            <w:tcW w:w="1238" w:type="dxa"/>
            <w:tcBorders>
              <w:top w:val="nil"/>
              <w:left w:val="nil"/>
              <w:bottom w:val="single" w:sz="4" w:space="0" w:color="auto"/>
              <w:right w:val="single" w:sz="4" w:space="0" w:color="auto"/>
            </w:tcBorders>
            <w:shd w:val="clear" w:color="auto" w:fill="auto"/>
            <w:noWrap/>
            <w:vAlign w:val="center"/>
            <w:hideMark/>
          </w:tcPr>
          <w:p w14:paraId="04A96A0B" w14:textId="6A2F0A28" w:rsidR="00BE00A1" w:rsidRPr="002F0AC5" w:rsidRDefault="00BE00A1" w:rsidP="004338F1">
            <w:pPr>
              <w:spacing w:after="0" w:line="240" w:lineRule="auto"/>
              <w:jc w:val="center"/>
              <w:rPr>
                <w:rFonts w:ascii="Arial" w:eastAsia="Times New Roman" w:hAnsi="Arial" w:cs="Arial"/>
                <w:color w:val="000000"/>
                <w:lang w:eastAsia="es-CO"/>
              </w:rPr>
            </w:pPr>
          </w:p>
        </w:tc>
        <w:tc>
          <w:tcPr>
            <w:tcW w:w="1413" w:type="dxa"/>
            <w:tcBorders>
              <w:top w:val="nil"/>
              <w:left w:val="nil"/>
              <w:bottom w:val="single" w:sz="4" w:space="0" w:color="auto"/>
              <w:right w:val="single" w:sz="4" w:space="0" w:color="auto"/>
            </w:tcBorders>
            <w:shd w:val="clear" w:color="auto" w:fill="auto"/>
            <w:noWrap/>
            <w:vAlign w:val="center"/>
            <w:hideMark/>
          </w:tcPr>
          <w:p w14:paraId="7255DB8B" w14:textId="29A590ED" w:rsidR="00BE00A1" w:rsidRPr="002F0AC5" w:rsidRDefault="00BE00A1" w:rsidP="004338F1">
            <w:pPr>
              <w:spacing w:after="0" w:line="240" w:lineRule="auto"/>
              <w:jc w:val="center"/>
              <w:rPr>
                <w:rFonts w:ascii="Arial" w:eastAsia="Times New Roman" w:hAnsi="Arial" w:cs="Arial"/>
                <w:color w:val="000000"/>
                <w:lang w:eastAsia="es-CO"/>
              </w:rPr>
            </w:pPr>
          </w:p>
        </w:tc>
      </w:tr>
      <w:tr w:rsidR="00BE00A1" w:rsidRPr="002F0AC5" w14:paraId="6AAB753C" w14:textId="77777777" w:rsidTr="004338F1">
        <w:trPr>
          <w:trHeight w:val="699"/>
        </w:trPr>
        <w:tc>
          <w:tcPr>
            <w:tcW w:w="2074" w:type="dxa"/>
            <w:tcBorders>
              <w:top w:val="nil"/>
              <w:left w:val="single" w:sz="4" w:space="0" w:color="auto"/>
              <w:bottom w:val="single" w:sz="4" w:space="0" w:color="auto"/>
              <w:right w:val="single" w:sz="4" w:space="0" w:color="auto"/>
            </w:tcBorders>
            <w:shd w:val="clear" w:color="auto" w:fill="auto"/>
            <w:vAlign w:val="bottom"/>
            <w:hideMark/>
          </w:tcPr>
          <w:p w14:paraId="08D39DD9" w14:textId="77777777" w:rsidR="00BE00A1" w:rsidRPr="002F0AC5" w:rsidRDefault="00BE00A1" w:rsidP="00BE00A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Pruebas para hepatitis B (HBsAg – anti-</w:t>
            </w:r>
            <w:proofErr w:type="spellStart"/>
            <w:r w:rsidRPr="002F0AC5">
              <w:rPr>
                <w:rFonts w:ascii="Arial" w:eastAsia="Times New Roman" w:hAnsi="Arial" w:cs="Arial"/>
                <w:color w:val="000000"/>
                <w:lang w:eastAsia="es-CO"/>
              </w:rPr>
              <w:t>HBc</w:t>
            </w:r>
            <w:proofErr w:type="spellEnd"/>
            <w:r w:rsidRPr="002F0AC5">
              <w:rPr>
                <w:rFonts w:ascii="Arial" w:eastAsia="Times New Roman" w:hAnsi="Arial" w:cs="Arial"/>
                <w:color w:val="000000"/>
                <w:lang w:eastAsia="es-CO"/>
              </w:rPr>
              <w:t>)</w:t>
            </w:r>
          </w:p>
        </w:tc>
        <w:tc>
          <w:tcPr>
            <w:tcW w:w="1532" w:type="dxa"/>
            <w:tcBorders>
              <w:top w:val="nil"/>
              <w:left w:val="nil"/>
              <w:bottom w:val="single" w:sz="4" w:space="0" w:color="auto"/>
              <w:right w:val="single" w:sz="4" w:space="0" w:color="auto"/>
            </w:tcBorders>
            <w:shd w:val="clear" w:color="auto" w:fill="auto"/>
            <w:noWrap/>
            <w:vAlign w:val="center"/>
            <w:hideMark/>
          </w:tcPr>
          <w:p w14:paraId="395B3D0A"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329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416CBD" w14:textId="4FB59941" w:rsidR="00BE00A1" w:rsidRPr="002F0AC5" w:rsidRDefault="00BE00A1" w:rsidP="004338F1">
            <w:pPr>
              <w:spacing w:after="0" w:line="240" w:lineRule="auto"/>
              <w:jc w:val="center"/>
              <w:rPr>
                <w:rFonts w:ascii="Arial" w:eastAsia="Times New Roman" w:hAnsi="Arial" w:cs="Arial"/>
                <w:color w:val="000000"/>
                <w:lang w:eastAsia="es-CO"/>
              </w:rPr>
            </w:pPr>
          </w:p>
        </w:tc>
        <w:tc>
          <w:tcPr>
            <w:tcW w:w="1238" w:type="dxa"/>
            <w:tcBorders>
              <w:top w:val="nil"/>
              <w:left w:val="nil"/>
              <w:bottom w:val="single" w:sz="4" w:space="0" w:color="auto"/>
              <w:right w:val="single" w:sz="4" w:space="0" w:color="auto"/>
            </w:tcBorders>
            <w:shd w:val="clear" w:color="auto" w:fill="auto"/>
            <w:noWrap/>
            <w:vAlign w:val="center"/>
            <w:hideMark/>
          </w:tcPr>
          <w:p w14:paraId="74F59321" w14:textId="04C5458F" w:rsidR="00BE00A1" w:rsidRPr="002F0AC5" w:rsidRDefault="00BE00A1" w:rsidP="004338F1">
            <w:pPr>
              <w:spacing w:after="0" w:line="240" w:lineRule="auto"/>
              <w:jc w:val="center"/>
              <w:rPr>
                <w:rFonts w:ascii="Arial" w:eastAsia="Times New Roman" w:hAnsi="Arial" w:cs="Arial"/>
                <w:color w:val="000000"/>
                <w:lang w:eastAsia="es-CO"/>
              </w:rPr>
            </w:pPr>
          </w:p>
        </w:tc>
        <w:tc>
          <w:tcPr>
            <w:tcW w:w="1413" w:type="dxa"/>
            <w:tcBorders>
              <w:top w:val="nil"/>
              <w:left w:val="nil"/>
              <w:bottom w:val="single" w:sz="4" w:space="0" w:color="auto"/>
              <w:right w:val="single" w:sz="4" w:space="0" w:color="auto"/>
            </w:tcBorders>
            <w:shd w:val="clear" w:color="auto" w:fill="auto"/>
            <w:noWrap/>
            <w:vAlign w:val="center"/>
            <w:hideMark/>
          </w:tcPr>
          <w:p w14:paraId="0C1A5E97"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r>
      <w:tr w:rsidR="00BE00A1" w:rsidRPr="002F0AC5" w14:paraId="0CFA61A2" w14:textId="77777777" w:rsidTr="004338F1">
        <w:trPr>
          <w:trHeight w:val="300"/>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14:paraId="4EBD6958" w14:textId="77777777" w:rsidR="00BE00A1" w:rsidRPr="002F0AC5" w:rsidRDefault="00BE00A1" w:rsidP="00BE00A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Prueba para VHC</w:t>
            </w:r>
          </w:p>
        </w:tc>
        <w:tc>
          <w:tcPr>
            <w:tcW w:w="1532" w:type="dxa"/>
            <w:tcBorders>
              <w:top w:val="nil"/>
              <w:left w:val="nil"/>
              <w:bottom w:val="single" w:sz="4" w:space="0" w:color="auto"/>
              <w:right w:val="single" w:sz="4" w:space="0" w:color="auto"/>
            </w:tcBorders>
            <w:shd w:val="clear" w:color="auto" w:fill="auto"/>
            <w:noWrap/>
            <w:vAlign w:val="center"/>
            <w:hideMark/>
          </w:tcPr>
          <w:p w14:paraId="537F3A0C"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1134" w:type="dxa"/>
            <w:tcBorders>
              <w:top w:val="nil"/>
              <w:left w:val="nil"/>
              <w:bottom w:val="single" w:sz="4" w:space="0" w:color="auto"/>
              <w:right w:val="single" w:sz="4" w:space="0" w:color="auto"/>
            </w:tcBorders>
            <w:shd w:val="clear" w:color="auto" w:fill="auto"/>
            <w:noWrap/>
            <w:vAlign w:val="center"/>
            <w:hideMark/>
          </w:tcPr>
          <w:p w14:paraId="52E2B979" w14:textId="1F0A247E" w:rsidR="00BE00A1" w:rsidRPr="002F0AC5" w:rsidRDefault="00BE00A1" w:rsidP="004338F1">
            <w:pPr>
              <w:spacing w:after="0" w:line="240" w:lineRule="auto"/>
              <w:jc w:val="center"/>
              <w:rPr>
                <w:rFonts w:ascii="Arial" w:eastAsia="Times New Roman" w:hAnsi="Arial" w:cs="Arial"/>
                <w:color w:val="000000"/>
                <w:lang w:eastAsia="es-CO"/>
              </w:rPr>
            </w:pPr>
          </w:p>
        </w:tc>
        <w:tc>
          <w:tcPr>
            <w:tcW w:w="1082" w:type="dxa"/>
            <w:tcBorders>
              <w:top w:val="nil"/>
              <w:left w:val="nil"/>
              <w:bottom w:val="single" w:sz="4" w:space="0" w:color="auto"/>
              <w:right w:val="single" w:sz="4" w:space="0" w:color="auto"/>
            </w:tcBorders>
            <w:shd w:val="clear" w:color="auto" w:fill="auto"/>
            <w:noWrap/>
            <w:vAlign w:val="center"/>
            <w:hideMark/>
          </w:tcPr>
          <w:p w14:paraId="5EF22C00" w14:textId="6326A953" w:rsidR="00BE00A1" w:rsidRPr="002F0AC5" w:rsidRDefault="00BE00A1" w:rsidP="004338F1">
            <w:pPr>
              <w:spacing w:after="0" w:line="240" w:lineRule="auto"/>
              <w:jc w:val="center"/>
              <w:rPr>
                <w:rFonts w:ascii="Arial" w:eastAsia="Times New Roman" w:hAnsi="Arial" w:cs="Arial"/>
                <w:color w:val="000000"/>
                <w:lang w:eastAsia="es-CO"/>
              </w:rPr>
            </w:pPr>
          </w:p>
        </w:tc>
        <w:tc>
          <w:tcPr>
            <w:tcW w:w="1082" w:type="dxa"/>
            <w:tcBorders>
              <w:top w:val="nil"/>
              <w:left w:val="nil"/>
              <w:bottom w:val="single" w:sz="4" w:space="0" w:color="auto"/>
              <w:right w:val="single" w:sz="4" w:space="0" w:color="auto"/>
            </w:tcBorders>
            <w:shd w:val="clear" w:color="auto" w:fill="auto"/>
            <w:noWrap/>
            <w:vAlign w:val="center"/>
            <w:hideMark/>
          </w:tcPr>
          <w:p w14:paraId="0B8EDC10" w14:textId="5D3AADCB" w:rsidR="00BE00A1" w:rsidRPr="002F0AC5" w:rsidRDefault="00BE00A1" w:rsidP="004338F1">
            <w:pPr>
              <w:spacing w:after="0" w:line="240" w:lineRule="auto"/>
              <w:jc w:val="center"/>
              <w:rPr>
                <w:rFonts w:ascii="Arial" w:eastAsia="Times New Roman" w:hAnsi="Arial" w:cs="Arial"/>
                <w:color w:val="000000"/>
                <w:lang w:eastAsia="es-CO"/>
              </w:rPr>
            </w:pPr>
          </w:p>
        </w:tc>
        <w:tc>
          <w:tcPr>
            <w:tcW w:w="1238" w:type="dxa"/>
            <w:tcBorders>
              <w:top w:val="nil"/>
              <w:left w:val="nil"/>
              <w:bottom w:val="single" w:sz="4" w:space="0" w:color="auto"/>
              <w:right w:val="single" w:sz="4" w:space="0" w:color="auto"/>
            </w:tcBorders>
            <w:shd w:val="clear" w:color="auto" w:fill="auto"/>
            <w:noWrap/>
            <w:vAlign w:val="center"/>
            <w:hideMark/>
          </w:tcPr>
          <w:p w14:paraId="029D000C"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c>
          <w:tcPr>
            <w:tcW w:w="1413" w:type="dxa"/>
            <w:tcBorders>
              <w:top w:val="nil"/>
              <w:left w:val="nil"/>
              <w:bottom w:val="single" w:sz="4" w:space="0" w:color="auto"/>
              <w:right w:val="single" w:sz="4" w:space="0" w:color="auto"/>
            </w:tcBorders>
            <w:shd w:val="clear" w:color="auto" w:fill="auto"/>
            <w:noWrap/>
            <w:vAlign w:val="center"/>
            <w:hideMark/>
          </w:tcPr>
          <w:p w14:paraId="5C17829B"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w:t>
            </w:r>
          </w:p>
        </w:tc>
      </w:tr>
      <w:tr w:rsidR="00BE00A1" w:rsidRPr="002F0AC5" w14:paraId="05BE4FEA" w14:textId="77777777" w:rsidTr="004338F1">
        <w:trPr>
          <w:trHeight w:val="300"/>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14:paraId="7C804EDA" w14:textId="77777777" w:rsidR="00BE00A1" w:rsidRPr="002F0AC5" w:rsidRDefault="00BE00A1" w:rsidP="00BE00A1">
            <w:pPr>
              <w:spacing w:after="0" w:line="240" w:lineRule="auto"/>
              <w:rPr>
                <w:rFonts w:ascii="Arial" w:eastAsia="Times New Roman" w:hAnsi="Arial" w:cs="Arial"/>
                <w:color w:val="000000"/>
                <w:lang w:eastAsia="es-CO"/>
              </w:rPr>
            </w:pPr>
            <w:r w:rsidRPr="002F0AC5">
              <w:rPr>
                <w:rFonts w:ascii="Arial" w:eastAsia="Times New Roman" w:hAnsi="Arial" w:cs="Arial"/>
                <w:color w:val="000000"/>
                <w:lang w:eastAsia="es-CO"/>
              </w:rPr>
              <w:t>Carga viral para VHC</w:t>
            </w:r>
          </w:p>
        </w:tc>
        <w:tc>
          <w:tcPr>
            <w:tcW w:w="1532" w:type="dxa"/>
            <w:tcBorders>
              <w:top w:val="nil"/>
              <w:left w:val="nil"/>
              <w:bottom w:val="single" w:sz="4" w:space="0" w:color="auto"/>
              <w:right w:val="single" w:sz="4" w:space="0" w:color="auto"/>
            </w:tcBorders>
            <w:shd w:val="clear" w:color="auto" w:fill="auto"/>
            <w:noWrap/>
            <w:vAlign w:val="center"/>
            <w:hideMark/>
          </w:tcPr>
          <w:p w14:paraId="615DFA94" w14:textId="2F2A1A04" w:rsidR="00BE00A1" w:rsidRPr="002F0AC5" w:rsidRDefault="00BE00A1" w:rsidP="004338F1">
            <w:pPr>
              <w:spacing w:after="0" w:line="240" w:lineRule="auto"/>
              <w:jc w:val="center"/>
              <w:rPr>
                <w:rFonts w:ascii="Arial" w:eastAsia="Times New Roman" w:hAnsi="Arial" w:cs="Arial"/>
                <w:color w:val="000000"/>
                <w:lang w:eastAsia="es-CO"/>
              </w:rPr>
            </w:pPr>
          </w:p>
        </w:tc>
        <w:tc>
          <w:tcPr>
            <w:tcW w:w="594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D62E37E" w14:textId="77777777" w:rsidR="00BE00A1" w:rsidRPr="002F0AC5" w:rsidRDefault="00BE00A1"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SI. Ante síntomas de Hepatitis viral aguda.</w:t>
            </w:r>
          </w:p>
        </w:tc>
      </w:tr>
    </w:tbl>
    <w:p w14:paraId="03F133E2" w14:textId="77777777" w:rsidR="00374124" w:rsidRPr="002F0AC5" w:rsidRDefault="00374124" w:rsidP="00374124">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lastRenderedPageBreak/>
        <w:t>Si en el seguimiento se utiliza una prueba de antígeno/anticuerpos de cuarta generación para el VIH (que detecta antígeno p24), el seguimiento se puede concluir cuatro meses después de la exposición. Si no se dispone de ensayos de cuarta generación, el seguimiento para VIH concluye normalmente seis meses después de una exposición. (Recomendación fuerte a favor, calidad de evidencia alta).</w:t>
      </w:r>
    </w:p>
    <w:p w14:paraId="57601D4C" w14:textId="77777777" w:rsidR="00374124" w:rsidRPr="002F0AC5" w:rsidRDefault="00374124" w:rsidP="00374124">
      <w:pPr>
        <w:autoSpaceDE w:val="0"/>
        <w:autoSpaceDN w:val="0"/>
        <w:adjustRightInd w:val="0"/>
        <w:spacing w:after="0" w:line="240" w:lineRule="auto"/>
        <w:jc w:val="both"/>
        <w:rPr>
          <w:rFonts w:ascii="Arial" w:eastAsia="ArialMT" w:hAnsi="Arial" w:cs="Arial"/>
        </w:rPr>
      </w:pPr>
    </w:p>
    <w:p w14:paraId="1D50CF4B" w14:textId="77777777" w:rsidR="00CE3180" w:rsidRPr="002F0AC5" w:rsidRDefault="00374124" w:rsidP="00374124">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Se deben recomendar a la persona expuesta, prácticas que permitan evitar la posible transmisión del VIH a terceros durante el periodo de seguimiento, mediante la utilización de condón, uso no compartido de jeringas en PID, entre otros (IIIA). Igualmente, se debe dar soporte emocional al trabajador expuesto y a su familia. No se debe donar sangre u órganos durante el periodo de seguimiento para prevenir la posible transmisión de VIH o Hepatitis B o C.</w:t>
      </w:r>
    </w:p>
    <w:p w14:paraId="20051344" w14:textId="77777777" w:rsidR="007743B8" w:rsidRPr="002F0AC5" w:rsidRDefault="00A90D34" w:rsidP="00532CAC">
      <w:pPr>
        <w:pStyle w:val="Ttulo1"/>
        <w:numPr>
          <w:ilvl w:val="0"/>
          <w:numId w:val="6"/>
        </w:numPr>
        <w:jc w:val="both"/>
        <w:rPr>
          <w:rFonts w:eastAsia="ArialMT"/>
        </w:rPr>
      </w:pPr>
      <w:bookmarkStart w:id="16" w:name="_Toc32502176"/>
      <w:r w:rsidRPr="002F0AC5">
        <w:t>PROFILAXIS POS EXPOSICIÓN FRENTE A MENINGITIS BACTERIANA.</w:t>
      </w:r>
      <w:bookmarkEnd w:id="16"/>
    </w:p>
    <w:p w14:paraId="7DC0EBC5" w14:textId="77777777" w:rsidR="007743B8" w:rsidRPr="002F0AC5" w:rsidRDefault="007743B8" w:rsidP="00374124">
      <w:pPr>
        <w:autoSpaceDE w:val="0"/>
        <w:autoSpaceDN w:val="0"/>
        <w:adjustRightInd w:val="0"/>
        <w:spacing w:after="0" w:line="240" w:lineRule="auto"/>
        <w:jc w:val="both"/>
        <w:rPr>
          <w:rFonts w:ascii="Arial" w:eastAsia="ArialMT" w:hAnsi="Arial" w:cs="Arial"/>
          <w:b/>
        </w:rPr>
      </w:pPr>
    </w:p>
    <w:p w14:paraId="6D21DD20" w14:textId="77777777" w:rsidR="00011A87" w:rsidRPr="002F0AC5" w:rsidRDefault="006C6F7D" w:rsidP="006C6F7D">
      <w:pPr>
        <w:autoSpaceDE w:val="0"/>
        <w:autoSpaceDN w:val="0"/>
        <w:adjustRightInd w:val="0"/>
        <w:spacing w:after="0" w:line="240" w:lineRule="auto"/>
        <w:jc w:val="both"/>
        <w:rPr>
          <w:rFonts w:ascii="Arial" w:hAnsi="Arial" w:cs="Arial"/>
        </w:rPr>
      </w:pPr>
      <w:r w:rsidRPr="002F0AC5">
        <w:rPr>
          <w:rFonts w:ascii="Arial" w:hAnsi="Arial" w:cs="Arial"/>
        </w:rPr>
        <w:t>El personal de salud rara vez está expuesto a riesgo de contagio de la meningitis, incluso si atiende a pacientes infectados; la profilaxis inmediata se justifica solo si hay exposición íntima a secreciones nasofaríngeas (por ejemplo, en el caso de reanimación boca a boca).</w:t>
      </w:r>
    </w:p>
    <w:p w14:paraId="23464BA6" w14:textId="15695C74" w:rsidR="00721C62" w:rsidRPr="002F0AC5" w:rsidRDefault="00A90D34" w:rsidP="00532CAC">
      <w:pPr>
        <w:pStyle w:val="Ttulo2"/>
        <w:numPr>
          <w:ilvl w:val="1"/>
          <w:numId w:val="6"/>
        </w:numPr>
        <w:rPr>
          <w:rFonts w:eastAsia="ArialMT"/>
        </w:rPr>
      </w:pPr>
      <w:bookmarkStart w:id="17" w:name="_Toc32502177"/>
      <w:r w:rsidRPr="002F0AC5">
        <w:t>EN CASO DE ORDENAR PROFILAXIS POR EXPOSICIÓN A LA MENINGITIS</w:t>
      </w:r>
      <w:bookmarkEnd w:id="17"/>
      <w:r w:rsidRPr="002F0AC5">
        <w:t xml:space="preserve"> </w:t>
      </w:r>
    </w:p>
    <w:p w14:paraId="1CA840FD" w14:textId="77777777" w:rsidR="006C6F7D" w:rsidRPr="002F0AC5" w:rsidRDefault="006C6F7D" w:rsidP="00374124">
      <w:pPr>
        <w:autoSpaceDE w:val="0"/>
        <w:autoSpaceDN w:val="0"/>
        <w:adjustRightInd w:val="0"/>
        <w:spacing w:after="0" w:line="240" w:lineRule="auto"/>
        <w:jc w:val="both"/>
        <w:rPr>
          <w:rFonts w:ascii="Arial" w:eastAsia="ArialMT" w:hAnsi="Arial" w:cs="Arial"/>
        </w:rPr>
      </w:pPr>
    </w:p>
    <w:tbl>
      <w:tblPr>
        <w:tblW w:w="9194" w:type="dxa"/>
        <w:tblInd w:w="75" w:type="dxa"/>
        <w:tblCellMar>
          <w:left w:w="70" w:type="dxa"/>
          <w:right w:w="70" w:type="dxa"/>
        </w:tblCellMar>
        <w:tblLook w:val="04A0" w:firstRow="1" w:lastRow="0" w:firstColumn="1" w:lastColumn="0" w:noHBand="0" w:noVBand="1"/>
      </w:tblPr>
      <w:tblGrid>
        <w:gridCol w:w="1290"/>
        <w:gridCol w:w="1535"/>
        <w:gridCol w:w="1005"/>
        <w:gridCol w:w="2230"/>
        <w:gridCol w:w="1309"/>
        <w:gridCol w:w="1895"/>
      </w:tblGrid>
      <w:tr w:rsidR="00A90D34" w:rsidRPr="002F0AC5" w14:paraId="791DFA00" w14:textId="77777777" w:rsidTr="004338F1">
        <w:trPr>
          <w:trHeight w:val="645"/>
        </w:trPr>
        <w:tc>
          <w:tcPr>
            <w:tcW w:w="919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DD1EA7F"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PAUTAS DE PROFILAXIS DE CONTACTON EN MENINGITIS MENINGOCOCICA</w:t>
            </w:r>
          </w:p>
        </w:tc>
      </w:tr>
      <w:tr w:rsidR="00A90D34" w:rsidRPr="002F0AC5" w14:paraId="1AB7335A" w14:textId="77777777" w:rsidTr="004338F1">
        <w:trPr>
          <w:trHeight w:val="540"/>
        </w:trPr>
        <w:tc>
          <w:tcPr>
            <w:tcW w:w="2755"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14:paraId="0E0CD98C"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MEDICAMENTO</w:t>
            </w:r>
          </w:p>
        </w:tc>
        <w:tc>
          <w:tcPr>
            <w:tcW w:w="1005" w:type="dxa"/>
            <w:tcBorders>
              <w:top w:val="nil"/>
              <w:left w:val="nil"/>
              <w:bottom w:val="single" w:sz="4" w:space="0" w:color="auto"/>
              <w:right w:val="single" w:sz="4" w:space="0" w:color="auto"/>
            </w:tcBorders>
            <w:shd w:val="clear" w:color="auto" w:fill="C6D9F1" w:themeFill="text2" w:themeFillTint="33"/>
            <w:noWrap/>
            <w:vAlign w:val="center"/>
            <w:hideMark/>
          </w:tcPr>
          <w:p w14:paraId="1E0299F7"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DOSIS</w:t>
            </w:r>
          </w:p>
        </w:tc>
        <w:tc>
          <w:tcPr>
            <w:tcW w:w="2230" w:type="dxa"/>
            <w:tcBorders>
              <w:top w:val="nil"/>
              <w:left w:val="nil"/>
              <w:bottom w:val="single" w:sz="4" w:space="0" w:color="auto"/>
              <w:right w:val="single" w:sz="4" w:space="0" w:color="auto"/>
            </w:tcBorders>
            <w:shd w:val="clear" w:color="auto" w:fill="C6D9F1" w:themeFill="text2" w:themeFillTint="33"/>
            <w:vAlign w:val="center"/>
            <w:hideMark/>
          </w:tcPr>
          <w:p w14:paraId="64D964DB"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VIA DE ADMINISTRACCION</w:t>
            </w:r>
          </w:p>
        </w:tc>
        <w:tc>
          <w:tcPr>
            <w:tcW w:w="1309" w:type="dxa"/>
            <w:tcBorders>
              <w:top w:val="nil"/>
              <w:left w:val="nil"/>
              <w:bottom w:val="single" w:sz="4" w:space="0" w:color="auto"/>
              <w:right w:val="single" w:sz="4" w:space="0" w:color="auto"/>
            </w:tcBorders>
            <w:shd w:val="clear" w:color="auto" w:fill="C6D9F1" w:themeFill="text2" w:themeFillTint="33"/>
            <w:noWrap/>
            <w:vAlign w:val="center"/>
            <w:hideMark/>
          </w:tcPr>
          <w:p w14:paraId="02FF1462"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HORARIO</w:t>
            </w:r>
          </w:p>
        </w:tc>
        <w:tc>
          <w:tcPr>
            <w:tcW w:w="1895" w:type="dxa"/>
            <w:tcBorders>
              <w:top w:val="nil"/>
              <w:left w:val="nil"/>
              <w:bottom w:val="single" w:sz="4" w:space="0" w:color="auto"/>
              <w:right w:val="single" w:sz="4" w:space="0" w:color="auto"/>
            </w:tcBorders>
            <w:shd w:val="clear" w:color="auto" w:fill="C6D9F1" w:themeFill="text2" w:themeFillTint="33"/>
            <w:noWrap/>
            <w:vAlign w:val="center"/>
            <w:hideMark/>
          </w:tcPr>
          <w:p w14:paraId="0EBD9985"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TIEMPO DEL TRATAMIENTO</w:t>
            </w:r>
          </w:p>
        </w:tc>
      </w:tr>
      <w:tr w:rsidR="00A90D34" w:rsidRPr="002F0AC5" w14:paraId="1D909032" w14:textId="77777777" w:rsidTr="004338F1">
        <w:trPr>
          <w:trHeight w:val="530"/>
        </w:trPr>
        <w:tc>
          <w:tcPr>
            <w:tcW w:w="1290" w:type="dxa"/>
            <w:tcBorders>
              <w:top w:val="nil"/>
              <w:left w:val="single" w:sz="4" w:space="0" w:color="auto"/>
              <w:bottom w:val="single" w:sz="4" w:space="0" w:color="auto"/>
              <w:right w:val="single" w:sz="4" w:space="0" w:color="auto"/>
            </w:tcBorders>
            <w:shd w:val="clear" w:color="auto" w:fill="auto"/>
            <w:vAlign w:val="center"/>
            <w:hideMark/>
          </w:tcPr>
          <w:p w14:paraId="0139B860"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Fármaco de elección</w:t>
            </w:r>
          </w:p>
        </w:tc>
        <w:tc>
          <w:tcPr>
            <w:tcW w:w="1465" w:type="dxa"/>
            <w:tcBorders>
              <w:top w:val="nil"/>
              <w:left w:val="nil"/>
              <w:bottom w:val="single" w:sz="4" w:space="0" w:color="auto"/>
              <w:right w:val="single" w:sz="4" w:space="0" w:color="auto"/>
            </w:tcBorders>
            <w:shd w:val="clear" w:color="auto" w:fill="auto"/>
            <w:noWrap/>
            <w:vAlign w:val="center"/>
            <w:hideMark/>
          </w:tcPr>
          <w:p w14:paraId="1E62E297"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Rifampicina</w:t>
            </w:r>
          </w:p>
        </w:tc>
        <w:tc>
          <w:tcPr>
            <w:tcW w:w="1005" w:type="dxa"/>
            <w:tcBorders>
              <w:top w:val="nil"/>
              <w:left w:val="nil"/>
              <w:bottom w:val="single" w:sz="4" w:space="0" w:color="auto"/>
              <w:right w:val="single" w:sz="4" w:space="0" w:color="auto"/>
            </w:tcBorders>
            <w:shd w:val="clear" w:color="auto" w:fill="auto"/>
            <w:noWrap/>
            <w:vAlign w:val="center"/>
            <w:hideMark/>
          </w:tcPr>
          <w:p w14:paraId="529B78AC"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600 mg</w:t>
            </w:r>
          </w:p>
        </w:tc>
        <w:tc>
          <w:tcPr>
            <w:tcW w:w="2230" w:type="dxa"/>
            <w:tcBorders>
              <w:top w:val="nil"/>
              <w:left w:val="nil"/>
              <w:bottom w:val="single" w:sz="4" w:space="0" w:color="auto"/>
              <w:right w:val="single" w:sz="4" w:space="0" w:color="auto"/>
            </w:tcBorders>
            <w:shd w:val="clear" w:color="auto" w:fill="auto"/>
            <w:noWrap/>
            <w:vAlign w:val="center"/>
            <w:hideMark/>
          </w:tcPr>
          <w:p w14:paraId="31713E35" w14:textId="2D280C04"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V.O</w:t>
            </w:r>
          </w:p>
        </w:tc>
        <w:tc>
          <w:tcPr>
            <w:tcW w:w="1309" w:type="dxa"/>
            <w:tcBorders>
              <w:top w:val="nil"/>
              <w:left w:val="nil"/>
              <w:bottom w:val="single" w:sz="4" w:space="0" w:color="auto"/>
              <w:right w:val="single" w:sz="4" w:space="0" w:color="auto"/>
            </w:tcBorders>
            <w:shd w:val="clear" w:color="auto" w:fill="auto"/>
            <w:vAlign w:val="center"/>
            <w:hideMark/>
          </w:tcPr>
          <w:p w14:paraId="606C3FA2"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cada 12 horas</w:t>
            </w:r>
          </w:p>
        </w:tc>
        <w:tc>
          <w:tcPr>
            <w:tcW w:w="1895" w:type="dxa"/>
            <w:tcBorders>
              <w:top w:val="nil"/>
              <w:left w:val="nil"/>
              <w:bottom w:val="single" w:sz="4" w:space="0" w:color="auto"/>
              <w:right w:val="single" w:sz="4" w:space="0" w:color="auto"/>
            </w:tcBorders>
            <w:shd w:val="clear" w:color="auto" w:fill="auto"/>
            <w:noWrap/>
            <w:vAlign w:val="center"/>
            <w:hideMark/>
          </w:tcPr>
          <w:p w14:paraId="33D21586" w14:textId="7461B7E9"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2 días</w:t>
            </w:r>
          </w:p>
        </w:tc>
      </w:tr>
      <w:tr w:rsidR="00A90D34" w:rsidRPr="002F0AC5" w14:paraId="162312A0" w14:textId="77777777" w:rsidTr="004338F1">
        <w:trPr>
          <w:trHeight w:val="360"/>
        </w:trPr>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14:paraId="4DF891D3"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Alternativas</w:t>
            </w:r>
          </w:p>
        </w:tc>
        <w:tc>
          <w:tcPr>
            <w:tcW w:w="1465" w:type="dxa"/>
            <w:tcBorders>
              <w:top w:val="nil"/>
              <w:left w:val="nil"/>
              <w:bottom w:val="single" w:sz="4" w:space="0" w:color="auto"/>
              <w:right w:val="single" w:sz="4" w:space="0" w:color="auto"/>
            </w:tcBorders>
            <w:shd w:val="clear" w:color="auto" w:fill="auto"/>
            <w:noWrap/>
            <w:vAlign w:val="center"/>
            <w:hideMark/>
          </w:tcPr>
          <w:p w14:paraId="53FF2651"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Ciprofloxacino</w:t>
            </w:r>
          </w:p>
        </w:tc>
        <w:tc>
          <w:tcPr>
            <w:tcW w:w="1005" w:type="dxa"/>
            <w:tcBorders>
              <w:top w:val="nil"/>
              <w:left w:val="nil"/>
              <w:bottom w:val="single" w:sz="4" w:space="0" w:color="auto"/>
              <w:right w:val="single" w:sz="4" w:space="0" w:color="auto"/>
            </w:tcBorders>
            <w:shd w:val="clear" w:color="auto" w:fill="auto"/>
            <w:noWrap/>
            <w:vAlign w:val="center"/>
            <w:hideMark/>
          </w:tcPr>
          <w:p w14:paraId="7E6DC305"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500 mg</w:t>
            </w:r>
          </w:p>
        </w:tc>
        <w:tc>
          <w:tcPr>
            <w:tcW w:w="2230" w:type="dxa"/>
            <w:tcBorders>
              <w:top w:val="nil"/>
              <w:left w:val="nil"/>
              <w:bottom w:val="single" w:sz="4" w:space="0" w:color="auto"/>
              <w:right w:val="single" w:sz="4" w:space="0" w:color="auto"/>
            </w:tcBorders>
            <w:shd w:val="clear" w:color="auto" w:fill="auto"/>
            <w:noWrap/>
            <w:vAlign w:val="center"/>
            <w:hideMark/>
          </w:tcPr>
          <w:p w14:paraId="53DF8F9A"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V.O</w:t>
            </w:r>
          </w:p>
        </w:tc>
        <w:tc>
          <w:tcPr>
            <w:tcW w:w="1309" w:type="dxa"/>
            <w:tcBorders>
              <w:top w:val="nil"/>
              <w:left w:val="nil"/>
              <w:bottom w:val="single" w:sz="4" w:space="0" w:color="auto"/>
              <w:right w:val="single" w:sz="4" w:space="0" w:color="auto"/>
            </w:tcBorders>
            <w:shd w:val="clear" w:color="auto" w:fill="auto"/>
            <w:noWrap/>
            <w:vAlign w:val="center"/>
            <w:hideMark/>
          </w:tcPr>
          <w:p w14:paraId="4294D94B" w14:textId="63D96A44" w:rsidR="00A90D34" w:rsidRPr="002F0AC5" w:rsidRDefault="00A90D34" w:rsidP="004338F1">
            <w:pPr>
              <w:spacing w:after="0" w:line="240" w:lineRule="auto"/>
              <w:jc w:val="center"/>
              <w:rPr>
                <w:rFonts w:ascii="Arial" w:eastAsia="Times New Roman" w:hAnsi="Arial" w:cs="Arial"/>
                <w:color w:val="000000"/>
                <w:lang w:eastAsia="es-CO"/>
              </w:rPr>
            </w:pPr>
          </w:p>
        </w:tc>
        <w:tc>
          <w:tcPr>
            <w:tcW w:w="1895" w:type="dxa"/>
            <w:tcBorders>
              <w:top w:val="nil"/>
              <w:left w:val="nil"/>
              <w:bottom w:val="single" w:sz="4" w:space="0" w:color="auto"/>
              <w:right w:val="single" w:sz="4" w:space="0" w:color="auto"/>
            </w:tcBorders>
            <w:shd w:val="clear" w:color="auto" w:fill="auto"/>
            <w:noWrap/>
            <w:vAlign w:val="center"/>
            <w:hideMark/>
          </w:tcPr>
          <w:p w14:paraId="6360DD9F"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Única dosis</w:t>
            </w:r>
          </w:p>
        </w:tc>
      </w:tr>
      <w:tr w:rsidR="00A90D34" w:rsidRPr="002F0AC5" w14:paraId="14CEA647" w14:textId="77777777" w:rsidTr="004338F1">
        <w:trPr>
          <w:trHeight w:val="332"/>
        </w:trPr>
        <w:tc>
          <w:tcPr>
            <w:tcW w:w="1290" w:type="dxa"/>
            <w:vMerge/>
            <w:tcBorders>
              <w:top w:val="nil"/>
              <w:left w:val="single" w:sz="4" w:space="0" w:color="auto"/>
              <w:bottom w:val="single" w:sz="4" w:space="0" w:color="000000"/>
              <w:right w:val="single" w:sz="4" w:space="0" w:color="auto"/>
            </w:tcBorders>
            <w:vAlign w:val="center"/>
            <w:hideMark/>
          </w:tcPr>
          <w:p w14:paraId="5A8E533F" w14:textId="77777777" w:rsidR="00A90D34" w:rsidRPr="002F0AC5" w:rsidRDefault="00A90D34" w:rsidP="004338F1">
            <w:pPr>
              <w:spacing w:after="0" w:line="240" w:lineRule="auto"/>
              <w:jc w:val="center"/>
              <w:rPr>
                <w:rFonts w:ascii="Arial" w:eastAsia="Times New Roman" w:hAnsi="Arial" w:cs="Arial"/>
                <w:color w:val="000000"/>
                <w:lang w:eastAsia="es-CO"/>
              </w:rPr>
            </w:pPr>
          </w:p>
        </w:tc>
        <w:tc>
          <w:tcPr>
            <w:tcW w:w="1465" w:type="dxa"/>
            <w:tcBorders>
              <w:top w:val="nil"/>
              <w:left w:val="nil"/>
              <w:bottom w:val="single" w:sz="4" w:space="0" w:color="auto"/>
              <w:right w:val="single" w:sz="4" w:space="0" w:color="auto"/>
            </w:tcBorders>
            <w:shd w:val="clear" w:color="auto" w:fill="auto"/>
            <w:noWrap/>
            <w:vAlign w:val="center"/>
            <w:hideMark/>
          </w:tcPr>
          <w:p w14:paraId="211C90E6"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Ceftriaxona</w:t>
            </w:r>
          </w:p>
        </w:tc>
        <w:tc>
          <w:tcPr>
            <w:tcW w:w="1005" w:type="dxa"/>
            <w:tcBorders>
              <w:top w:val="nil"/>
              <w:left w:val="nil"/>
              <w:bottom w:val="single" w:sz="4" w:space="0" w:color="auto"/>
              <w:right w:val="single" w:sz="4" w:space="0" w:color="auto"/>
            </w:tcBorders>
            <w:shd w:val="clear" w:color="auto" w:fill="auto"/>
            <w:noWrap/>
            <w:vAlign w:val="center"/>
            <w:hideMark/>
          </w:tcPr>
          <w:p w14:paraId="5FEF8871"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250 mg</w:t>
            </w:r>
          </w:p>
        </w:tc>
        <w:tc>
          <w:tcPr>
            <w:tcW w:w="2230" w:type="dxa"/>
            <w:tcBorders>
              <w:top w:val="nil"/>
              <w:left w:val="nil"/>
              <w:bottom w:val="single" w:sz="4" w:space="0" w:color="auto"/>
              <w:right w:val="single" w:sz="4" w:space="0" w:color="auto"/>
            </w:tcBorders>
            <w:shd w:val="clear" w:color="auto" w:fill="auto"/>
            <w:noWrap/>
            <w:vAlign w:val="center"/>
            <w:hideMark/>
          </w:tcPr>
          <w:p w14:paraId="03523C6F"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IM</w:t>
            </w:r>
          </w:p>
        </w:tc>
        <w:tc>
          <w:tcPr>
            <w:tcW w:w="1309" w:type="dxa"/>
            <w:tcBorders>
              <w:top w:val="nil"/>
              <w:left w:val="nil"/>
              <w:bottom w:val="single" w:sz="4" w:space="0" w:color="auto"/>
              <w:right w:val="single" w:sz="4" w:space="0" w:color="auto"/>
            </w:tcBorders>
            <w:shd w:val="clear" w:color="auto" w:fill="auto"/>
            <w:noWrap/>
            <w:vAlign w:val="center"/>
            <w:hideMark/>
          </w:tcPr>
          <w:p w14:paraId="04E51896" w14:textId="26CEA006" w:rsidR="00A90D34" w:rsidRPr="002F0AC5" w:rsidRDefault="00A90D34" w:rsidP="004338F1">
            <w:pPr>
              <w:spacing w:after="0" w:line="240" w:lineRule="auto"/>
              <w:jc w:val="center"/>
              <w:rPr>
                <w:rFonts w:ascii="Arial" w:eastAsia="Times New Roman" w:hAnsi="Arial" w:cs="Arial"/>
                <w:color w:val="000000"/>
                <w:lang w:eastAsia="es-CO"/>
              </w:rPr>
            </w:pPr>
          </w:p>
        </w:tc>
        <w:tc>
          <w:tcPr>
            <w:tcW w:w="1895" w:type="dxa"/>
            <w:tcBorders>
              <w:top w:val="nil"/>
              <w:left w:val="nil"/>
              <w:bottom w:val="single" w:sz="4" w:space="0" w:color="auto"/>
              <w:right w:val="single" w:sz="4" w:space="0" w:color="auto"/>
            </w:tcBorders>
            <w:shd w:val="clear" w:color="auto" w:fill="auto"/>
            <w:noWrap/>
            <w:vAlign w:val="center"/>
            <w:hideMark/>
          </w:tcPr>
          <w:p w14:paraId="63ECF70D" w14:textId="77777777" w:rsidR="00A90D34" w:rsidRPr="002F0AC5" w:rsidRDefault="00A90D34" w:rsidP="004338F1">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Única dosis</w:t>
            </w:r>
          </w:p>
        </w:tc>
      </w:tr>
    </w:tbl>
    <w:p w14:paraId="6242E2D0" w14:textId="3A5E869C" w:rsidR="006C6F7D" w:rsidRDefault="006C6F7D" w:rsidP="00374124">
      <w:pPr>
        <w:autoSpaceDE w:val="0"/>
        <w:autoSpaceDN w:val="0"/>
        <w:adjustRightInd w:val="0"/>
        <w:spacing w:after="0" w:line="240" w:lineRule="auto"/>
        <w:jc w:val="both"/>
        <w:rPr>
          <w:rFonts w:ascii="Arial" w:eastAsia="ArialMT" w:hAnsi="Arial" w:cs="Arial"/>
        </w:rPr>
      </w:pPr>
    </w:p>
    <w:p w14:paraId="575ED6FA" w14:textId="77777777" w:rsidR="00D924A6" w:rsidRPr="002F0AC5" w:rsidRDefault="00D924A6" w:rsidP="00374124">
      <w:pPr>
        <w:autoSpaceDE w:val="0"/>
        <w:autoSpaceDN w:val="0"/>
        <w:adjustRightInd w:val="0"/>
        <w:spacing w:after="0" w:line="240" w:lineRule="auto"/>
        <w:jc w:val="both"/>
        <w:rPr>
          <w:rFonts w:ascii="Arial" w:eastAsia="ArialMT" w:hAnsi="Arial" w:cs="Arial"/>
        </w:rPr>
      </w:pPr>
    </w:p>
    <w:tbl>
      <w:tblPr>
        <w:tblW w:w="9067" w:type="dxa"/>
        <w:tblInd w:w="75" w:type="dxa"/>
        <w:tblCellMar>
          <w:left w:w="70" w:type="dxa"/>
          <w:right w:w="70" w:type="dxa"/>
        </w:tblCellMar>
        <w:tblLook w:val="04A0" w:firstRow="1" w:lastRow="0" w:firstColumn="1" w:lastColumn="0" w:noHBand="0" w:noVBand="1"/>
      </w:tblPr>
      <w:tblGrid>
        <w:gridCol w:w="1098"/>
        <w:gridCol w:w="1374"/>
        <w:gridCol w:w="1034"/>
        <w:gridCol w:w="2230"/>
        <w:gridCol w:w="1350"/>
        <w:gridCol w:w="1981"/>
      </w:tblGrid>
      <w:tr w:rsidR="00A90D34" w:rsidRPr="002F0AC5" w14:paraId="283B43D5" w14:textId="77777777" w:rsidTr="004338F1">
        <w:trPr>
          <w:trHeight w:val="645"/>
        </w:trPr>
        <w:tc>
          <w:tcPr>
            <w:tcW w:w="906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B041F8D" w14:textId="38CEAA32"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PAUTAS DE PROFILAXIS DE CONTACTON EN MENINGITIS POR HAEMOPHILUS INFLUENZAE TIPO B</w:t>
            </w:r>
          </w:p>
        </w:tc>
      </w:tr>
      <w:tr w:rsidR="00A90D34" w:rsidRPr="002F0AC5" w14:paraId="2DDD4D98" w14:textId="77777777" w:rsidTr="00D924A6">
        <w:trPr>
          <w:trHeight w:val="540"/>
        </w:trPr>
        <w:tc>
          <w:tcPr>
            <w:tcW w:w="247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14:paraId="04A61388"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MEDICAMENTO</w:t>
            </w:r>
          </w:p>
        </w:tc>
        <w:tc>
          <w:tcPr>
            <w:tcW w:w="1034" w:type="dxa"/>
            <w:tcBorders>
              <w:top w:val="nil"/>
              <w:left w:val="nil"/>
              <w:bottom w:val="single" w:sz="4" w:space="0" w:color="auto"/>
              <w:right w:val="single" w:sz="4" w:space="0" w:color="auto"/>
            </w:tcBorders>
            <w:shd w:val="clear" w:color="auto" w:fill="C6D9F1" w:themeFill="text2" w:themeFillTint="33"/>
            <w:noWrap/>
            <w:vAlign w:val="center"/>
            <w:hideMark/>
          </w:tcPr>
          <w:p w14:paraId="7247F104"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DOSIS</w:t>
            </w:r>
          </w:p>
        </w:tc>
        <w:tc>
          <w:tcPr>
            <w:tcW w:w="2230" w:type="dxa"/>
            <w:tcBorders>
              <w:top w:val="nil"/>
              <w:left w:val="nil"/>
              <w:bottom w:val="single" w:sz="4" w:space="0" w:color="auto"/>
              <w:right w:val="single" w:sz="4" w:space="0" w:color="auto"/>
            </w:tcBorders>
            <w:shd w:val="clear" w:color="auto" w:fill="C6D9F1" w:themeFill="text2" w:themeFillTint="33"/>
            <w:vAlign w:val="center"/>
            <w:hideMark/>
          </w:tcPr>
          <w:p w14:paraId="4CF61186"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VIA DE ADMINISTRACCION</w:t>
            </w:r>
          </w:p>
        </w:tc>
        <w:tc>
          <w:tcPr>
            <w:tcW w:w="1350" w:type="dxa"/>
            <w:tcBorders>
              <w:top w:val="nil"/>
              <w:left w:val="nil"/>
              <w:bottom w:val="single" w:sz="4" w:space="0" w:color="auto"/>
              <w:right w:val="single" w:sz="4" w:space="0" w:color="auto"/>
            </w:tcBorders>
            <w:shd w:val="clear" w:color="auto" w:fill="C6D9F1" w:themeFill="text2" w:themeFillTint="33"/>
            <w:noWrap/>
            <w:vAlign w:val="center"/>
            <w:hideMark/>
          </w:tcPr>
          <w:p w14:paraId="170B3140"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HORARIO</w:t>
            </w:r>
          </w:p>
        </w:tc>
        <w:tc>
          <w:tcPr>
            <w:tcW w:w="1981" w:type="dxa"/>
            <w:tcBorders>
              <w:top w:val="nil"/>
              <w:left w:val="nil"/>
              <w:bottom w:val="single" w:sz="4" w:space="0" w:color="auto"/>
              <w:right w:val="single" w:sz="4" w:space="0" w:color="auto"/>
            </w:tcBorders>
            <w:shd w:val="clear" w:color="auto" w:fill="C6D9F1" w:themeFill="text2" w:themeFillTint="33"/>
            <w:noWrap/>
            <w:vAlign w:val="center"/>
            <w:hideMark/>
          </w:tcPr>
          <w:p w14:paraId="236D297C" w14:textId="77777777" w:rsidR="00A90D34" w:rsidRPr="004338F1" w:rsidRDefault="00A90D34" w:rsidP="004338F1">
            <w:pPr>
              <w:spacing w:after="0" w:line="240" w:lineRule="auto"/>
              <w:jc w:val="center"/>
              <w:rPr>
                <w:rFonts w:ascii="Arial" w:eastAsia="Times New Roman" w:hAnsi="Arial" w:cs="Arial"/>
                <w:b/>
                <w:bCs/>
                <w:color w:val="000000"/>
                <w:lang w:eastAsia="es-CO"/>
              </w:rPr>
            </w:pPr>
            <w:r w:rsidRPr="004338F1">
              <w:rPr>
                <w:rFonts w:ascii="Arial" w:eastAsia="Times New Roman" w:hAnsi="Arial" w:cs="Arial"/>
                <w:b/>
                <w:bCs/>
                <w:color w:val="000000"/>
                <w:lang w:eastAsia="es-CO"/>
              </w:rPr>
              <w:t>TIEMPO DEL TRATAMIENTO</w:t>
            </w:r>
          </w:p>
        </w:tc>
      </w:tr>
      <w:tr w:rsidR="00A90D34" w:rsidRPr="002F0AC5" w14:paraId="15565E7D" w14:textId="77777777" w:rsidTr="00D924A6">
        <w:trPr>
          <w:trHeight w:val="585"/>
        </w:trPr>
        <w:tc>
          <w:tcPr>
            <w:tcW w:w="1098" w:type="dxa"/>
            <w:tcBorders>
              <w:top w:val="nil"/>
              <w:left w:val="single" w:sz="4" w:space="0" w:color="auto"/>
              <w:bottom w:val="single" w:sz="4" w:space="0" w:color="auto"/>
              <w:right w:val="single" w:sz="4" w:space="0" w:color="auto"/>
            </w:tcBorders>
            <w:shd w:val="clear" w:color="auto" w:fill="auto"/>
            <w:vAlign w:val="center"/>
            <w:hideMark/>
          </w:tcPr>
          <w:p w14:paraId="1DF68801" w14:textId="77777777" w:rsidR="00A90D34" w:rsidRPr="002F0AC5" w:rsidRDefault="00A90D34" w:rsidP="00D924A6">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Fármaco de elección</w:t>
            </w:r>
          </w:p>
        </w:tc>
        <w:tc>
          <w:tcPr>
            <w:tcW w:w="1374" w:type="dxa"/>
            <w:tcBorders>
              <w:top w:val="nil"/>
              <w:left w:val="nil"/>
              <w:bottom w:val="single" w:sz="4" w:space="0" w:color="auto"/>
              <w:right w:val="single" w:sz="4" w:space="0" w:color="auto"/>
            </w:tcBorders>
            <w:shd w:val="clear" w:color="auto" w:fill="auto"/>
            <w:noWrap/>
            <w:vAlign w:val="center"/>
            <w:hideMark/>
          </w:tcPr>
          <w:p w14:paraId="15CC424B" w14:textId="77777777" w:rsidR="00A90D34" w:rsidRPr="002F0AC5" w:rsidRDefault="00A90D34" w:rsidP="00D924A6">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Rifampicina</w:t>
            </w:r>
          </w:p>
        </w:tc>
        <w:tc>
          <w:tcPr>
            <w:tcW w:w="1034" w:type="dxa"/>
            <w:tcBorders>
              <w:top w:val="nil"/>
              <w:left w:val="nil"/>
              <w:bottom w:val="single" w:sz="4" w:space="0" w:color="auto"/>
              <w:right w:val="single" w:sz="4" w:space="0" w:color="auto"/>
            </w:tcBorders>
            <w:shd w:val="clear" w:color="auto" w:fill="auto"/>
            <w:noWrap/>
            <w:vAlign w:val="center"/>
            <w:hideMark/>
          </w:tcPr>
          <w:p w14:paraId="5817E600" w14:textId="77777777" w:rsidR="00A90D34" w:rsidRPr="002F0AC5" w:rsidRDefault="00A90D34" w:rsidP="00D924A6">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600 mg</w:t>
            </w:r>
          </w:p>
        </w:tc>
        <w:tc>
          <w:tcPr>
            <w:tcW w:w="2230" w:type="dxa"/>
            <w:tcBorders>
              <w:top w:val="nil"/>
              <w:left w:val="nil"/>
              <w:bottom w:val="single" w:sz="4" w:space="0" w:color="auto"/>
              <w:right w:val="single" w:sz="4" w:space="0" w:color="auto"/>
            </w:tcBorders>
            <w:shd w:val="clear" w:color="auto" w:fill="auto"/>
            <w:noWrap/>
            <w:vAlign w:val="center"/>
            <w:hideMark/>
          </w:tcPr>
          <w:p w14:paraId="27DF7507" w14:textId="77777777" w:rsidR="00A90D34" w:rsidRPr="002F0AC5" w:rsidRDefault="00A90D34" w:rsidP="00D924A6">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V.O</w:t>
            </w:r>
          </w:p>
        </w:tc>
        <w:tc>
          <w:tcPr>
            <w:tcW w:w="1350" w:type="dxa"/>
            <w:tcBorders>
              <w:top w:val="nil"/>
              <w:left w:val="nil"/>
              <w:bottom w:val="single" w:sz="4" w:space="0" w:color="auto"/>
              <w:right w:val="single" w:sz="4" w:space="0" w:color="auto"/>
            </w:tcBorders>
            <w:shd w:val="clear" w:color="auto" w:fill="auto"/>
            <w:vAlign w:val="center"/>
            <w:hideMark/>
          </w:tcPr>
          <w:p w14:paraId="42995E04" w14:textId="77777777" w:rsidR="00A90D34" w:rsidRPr="002F0AC5" w:rsidRDefault="00A90D34" w:rsidP="00D924A6">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Día</w:t>
            </w:r>
          </w:p>
        </w:tc>
        <w:tc>
          <w:tcPr>
            <w:tcW w:w="1981" w:type="dxa"/>
            <w:tcBorders>
              <w:top w:val="nil"/>
              <w:left w:val="nil"/>
              <w:bottom w:val="single" w:sz="4" w:space="0" w:color="auto"/>
              <w:right w:val="single" w:sz="4" w:space="0" w:color="auto"/>
            </w:tcBorders>
            <w:shd w:val="clear" w:color="auto" w:fill="auto"/>
            <w:noWrap/>
            <w:vAlign w:val="center"/>
            <w:hideMark/>
          </w:tcPr>
          <w:p w14:paraId="10B89C71" w14:textId="77777777" w:rsidR="00A90D34" w:rsidRPr="002F0AC5" w:rsidRDefault="00A90D34" w:rsidP="00D924A6">
            <w:pPr>
              <w:spacing w:after="0" w:line="240" w:lineRule="auto"/>
              <w:jc w:val="center"/>
              <w:rPr>
                <w:rFonts w:ascii="Arial" w:eastAsia="Times New Roman" w:hAnsi="Arial" w:cs="Arial"/>
                <w:color w:val="000000"/>
                <w:lang w:eastAsia="es-CO"/>
              </w:rPr>
            </w:pPr>
            <w:r w:rsidRPr="002F0AC5">
              <w:rPr>
                <w:rFonts w:ascii="Arial" w:eastAsia="Times New Roman" w:hAnsi="Arial" w:cs="Arial"/>
                <w:color w:val="000000"/>
                <w:lang w:eastAsia="es-CO"/>
              </w:rPr>
              <w:t>4 días</w:t>
            </w:r>
          </w:p>
        </w:tc>
      </w:tr>
    </w:tbl>
    <w:p w14:paraId="2D73A72B" w14:textId="77777777" w:rsidR="006C6F7D" w:rsidRPr="002F0AC5" w:rsidRDefault="006C6F7D" w:rsidP="00374124">
      <w:pPr>
        <w:autoSpaceDE w:val="0"/>
        <w:autoSpaceDN w:val="0"/>
        <w:adjustRightInd w:val="0"/>
        <w:spacing w:after="0" w:line="240" w:lineRule="auto"/>
        <w:jc w:val="both"/>
        <w:rPr>
          <w:rFonts w:ascii="Arial" w:eastAsia="ArialMT" w:hAnsi="Arial" w:cs="Arial"/>
        </w:rPr>
      </w:pPr>
    </w:p>
    <w:p w14:paraId="48E0FA95" w14:textId="77777777" w:rsidR="00E84266" w:rsidRPr="002F0AC5" w:rsidRDefault="00E84266" w:rsidP="00532CAC">
      <w:pPr>
        <w:pStyle w:val="Ttulo1"/>
        <w:numPr>
          <w:ilvl w:val="0"/>
          <w:numId w:val="6"/>
        </w:numPr>
        <w:jc w:val="both"/>
      </w:pPr>
      <w:bookmarkStart w:id="18" w:name="_Toc32502178"/>
      <w:r w:rsidRPr="002F0AC5">
        <w:lastRenderedPageBreak/>
        <w:t>TRABAJADORES DE SALUD QUE PRESTAN ATENCIÓN A LOS PACIENTES CON DIAGNÓSTICO O PRESUNCIÓN CLÍNICA DE INFECCIÓN RESPIRATORIA AGUDA QUE PODRÍA SER MOTIVO DE PREOCUPACIÓN</w:t>
      </w:r>
      <w:bookmarkEnd w:id="18"/>
      <w:r w:rsidRPr="002F0AC5">
        <w:t xml:space="preserve"> </w:t>
      </w:r>
    </w:p>
    <w:p w14:paraId="79F9F76C" w14:textId="77777777" w:rsidR="00E84266" w:rsidRPr="002F0AC5" w:rsidRDefault="00E84266" w:rsidP="00E84266">
      <w:pPr>
        <w:autoSpaceDE w:val="0"/>
        <w:autoSpaceDN w:val="0"/>
        <w:adjustRightInd w:val="0"/>
        <w:spacing w:after="0" w:line="240" w:lineRule="auto"/>
        <w:jc w:val="both"/>
        <w:rPr>
          <w:rFonts w:ascii="Arial" w:hAnsi="Arial" w:cs="Arial"/>
        </w:rPr>
      </w:pPr>
    </w:p>
    <w:p w14:paraId="0595ED83" w14:textId="036B98D8" w:rsidR="00E84266" w:rsidRPr="002F0AC5" w:rsidRDefault="00E84266" w:rsidP="00E84266">
      <w:pPr>
        <w:autoSpaceDE w:val="0"/>
        <w:autoSpaceDN w:val="0"/>
        <w:adjustRightInd w:val="0"/>
        <w:spacing w:after="0" w:line="240" w:lineRule="auto"/>
        <w:jc w:val="both"/>
        <w:rPr>
          <w:rFonts w:ascii="Arial" w:hAnsi="Arial" w:cs="Arial"/>
        </w:rPr>
      </w:pPr>
      <w:r w:rsidRPr="002F0AC5">
        <w:rPr>
          <w:rFonts w:ascii="Arial" w:hAnsi="Arial" w:cs="Arial"/>
        </w:rPr>
        <w:t>Organice a los trabajadores de salud en grupos asignados al cuidado de los pacientes. Tómeles la temperatura periódicamente (por ejemplo, antes de cada turno) y controle la aparición de síntomas de enfermedad</w:t>
      </w:r>
      <w:r w:rsidR="003D5F66" w:rsidRPr="002F0AC5">
        <w:rPr>
          <w:rFonts w:ascii="Arial" w:hAnsi="Arial" w:cs="Arial"/>
        </w:rPr>
        <w:t xml:space="preserve">es como neumonía bacteriana, </w:t>
      </w:r>
      <w:r w:rsidR="00D924A6" w:rsidRPr="002F0AC5">
        <w:rPr>
          <w:rFonts w:ascii="Arial" w:hAnsi="Arial" w:cs="Arial"/>
        </w:rPr>
        <w:t>tuberculosis, influenza</w:t>
      </w:r>
      <w:r w:rsidRPr="002F0AC5">
        <w:rPr>
          <w:rFonts w:ascii="Arial" w:hAnsi="Arial" w:cs="Arial"/>
        </w:rPr>
        <w:t xml:space="preserve"> (tos, dolor de garganta y dificultad para respirar) de 7 días a 10 días después de la última exposición potencial a un paciente con infección respiratoria aguda que podría ser fuente de preocupación.</w:t>
      </w:r>
    </w:p>
    <w:p w14:paraId="63C5770E" w14:textId="77777777" w:rsidR="00E84266" w:rsidRPr="002F0AC5" w:rsidRDefault="00E84266" w:rsidP="00E84266">
      <w:pPr>
        <w:autoSpaceDE w:val="0"/>
        <w:autoSpaceDN w:val="0"/>
        <w:adjustRightInd w:val="0"/>
        <w:spacing w:after="0" w:line="240" w:lineRule="auto"/>
        <w:jc w:val="both"/>
        <w:rPr>
          <w:rFonts w:ascii="Arial" w:hAnsi="Arial" w:cs="Arial"/>
        </w:rPr>
      </w:pPr>
    </w:p>
    <w:p w14:paraId="29754455" w14:textId="77777777" w:rsidR="00E84266" w:rsidRPr="002F0AC5" w:rsidRDefault="00E84266" w:rsidP="00E84266">
      <w:pPr>
        <w:autoSpaceDE w:val="0"/>
        <w:autoSpaceDN w:val="0"/>
        <w:adjustRightInd w:val="0"/>
        <w:spacing w:after="0" w:line="240" w:lineRule="auto"/>
        <w:jc w:val="both"/>
        <w:rPr>
          <w:rFonts w:ascii="Arial" w:hAnsi="Arial" w:cs="Arial"/>
        </w:rPr>
      </w:pPr>
      <w:r w:rsidRPr="002F0AC5">
        <w:rPr>
          <w:rFonts w:ascii="Arial" w:hAnsi="Arial" w:cs="Arial"/>
        </w:rPr>
        <w:t>Recomiéndele al personal que, en caso de presentar fiebre superior a 38 °C o síntomas de enfermedad tipo influenza, tome l</w:t>
      </w:r>
      <w:r w:rsidR="00D53A00" w:rsidRPr="002F0AC5">
        <w:rPr>
          <w:rFonts w:ascii="Arial" w:hAnsi="Arial" w:cs="Arial"/>
        </w:rPr>
        <w:t>as siguientes medidas:</w:t>
      </w:r>
    </w:p>
    <w:p w14:paraId="12CB281B" w14:textId="77777777" w:rsidR="00E84266" w:rsidRPr="002F0AC5" w:rsidRDefault="00E84266" w:rsidP="00E84266">
      <w:pPr>
        <w:autoSpaceDE w:val="0"/>
        <w:autoSpaceDN w:val="0"/>
        <w:adjustRightInd w:val="0"/>
        <w:spacing w:after="0" w:line="240" w:lineRule="auto"/>
        <w:jc w:val="both"/>
        <w:rPr>
          <w:rFonts w:ascii="Arial" w:hAnsi="Arial" w:cs="Arial"/>
        </w:rPr>
      </w:pPr>
    </w:p>
    <w:p w14:paraId="16CE4244" w14:textId="11E78B2D" w:rsidR="00E84266" w:rsidRPr="002F0AC5" w:rsidRDefault="00E84266" w:rsidP="00532CAC">
      <w:pPr>
        <w:pStyle w:val="Prrafodelista"/>
        <w:numPr>
          <w:ilvl w:val="0"/>
          <w:numId w:val="5"/>
        </w:numPr>
        <w:autoSpaceDE w:val="0"/>
        <w:autoSpaceDN w:val="0"/>
        <w:adjustRightInd w:val="0"/>
        <w:spacing w:after="0" w:line="240" w:lineRule="auto"/>
        <w:jc w:val="both"/>
        <w:rPr>
          <w:rFonts w:ascii="Arial" w:hAnsi="Arial" w:cs="Arial"/>
        </w:rPr>
      </w:pPr>
      <w:r w:rsidRPr="002F0AC5">
        <w:rPr>
          <w:rFonts w:ascii="Arial" w:hAnsi="Arial" w:cs="Arial"/>
        </w:rPr>
        <w:t>Pasar inmediatamente al médico</w:t>
      </w:r>
      <w:r w:rsidR="00AA37CF" w:rsidRPr="002F0AC5">
        <w:rPr>
          <w:rFonts w:ascii="Arial" w:hAnsi="Arial" w:cs="Arial"/>
        </w:rPr>
        <w:t>.</w:t>
      </w:r>
    </w:p>
    <w:p w14:paraId="01D0F5DC" w14:textId="77777777" w:rsidR="00E84266" w:rsidRPr="002F0AC5" w:rsidRDefault="00E84266" w:rsidP="00532CAC">
      <w:pPr>
        <w:pStyle w:val="Prrafodelista"/>
        <w:numPr>
          <w:ilvl w:val="0"/>
          <w:numId w:val="5"/>
        </w:numPr>
        <w:autoSpaceDE w:val="0"/>
        <w:autoSpaceDN w:val="0"/>
        <w:adjustRightInd w:val="0"/>
        <w:spacing w:after="0" w:line="240" w:lineRule="auto"/>
        <w:jc w:val="both"/>
        <w:rPr>
          <w:rFonts w:ascii="Arial" w:hAnsi="Arial" w:cs="Arial"/>
        </w:rPr>
      </w:pPr>
      <w:r w:rsidRPr="002F0AC5">
        <w:rPr>
          <w:rFonts w:ascii="Arial" w:hAnsi="Arial" w:cs="Arial"/>
        </w:rPr>
        <w:t>limite sus relaciones con otras personas;</w:t>
      </w:r>
    </w:p>
    <w:p w14:paraId="4874B384" w14:textId="77777777" w:rsidR="00E84266" w:rsidRPr="002F0AC5" w:rsidRDefault="00E84266" w:rsidP="00532CAC">
      <w:pPr>
        <w:pStyle w:val="Prrafodelista"/>
        <w:numPr>
          <w:ilvl w:val="0"/>
          <w:numId w:val="5"/>
        </w:numPr>
        <w:autoSpaceDE w:val="0"/>
        <w:autoSpaceDN w:val="0"/>
        <w:adjustRightInd w:val="0"/>
        <w:spacing w:after="0" w:line="240" w:lineRule="auto"/>
        <w:jc w:val="both"/>
        <w:rPr>
          <w:rFonts w:ascii="Arial" w:hAnsi="Arial" w:cs="Arial"/>
        </w:rPr>
      </w:pPr>
      <w:r w:rsidRPr="002F0AC5">
        <w:rPr>
          <w:rFonts w:ascii="Arial" w:hAnsi="Arial" w:cs="Arial"/>
        </w:rPr>
        <w:t>no se presenten en zonas públicas, y</w:t>
      </w:r>
    </w:p>
    <w:p w14:paraId="4017AA71" w14:textId="0C9A336D" w:rsidR="006C6F7D" w:rsidRPr="002F0AC5" w:rsidRDefault="00E84266" w:rsidP="00532CAC">
      <w:pPr>
        <w:pStyle w:val="Prrafodelista"/>
        <w:numPr>
          <w:ilvl w:val="0"/>
          <w:numId w:val="5"/>
        </w:numPr>
        <w:autoSpaceDE w:val="0"/>
        <w:autoSpaceDN w:val="0"/>
        <w:adjustRightInd w:val="0"/>
        <w:spacing w:after="0" w:line="240" w:lineRule="auto"/>
        <w:jc w:val="both"/>
        <w:rPr>
          <w:rFonts w:ascii="Arial" w:eastAsia="ArialMT" w:hAnsi="Arial" w:cs="Arial"/>
        </w:rPr>
      </w:pPr>
      <w:r w:rsidRPr="002F0AC5">
        <w:rPr>
          <w:rFonts w:ascii="Arial" w:hAnsi="Arial" w:cs="Arial"/>
        </w:rPr>
        <w:t>notifiquen a la administración o al equipo encargado de la prevención y el control de las infecciones y la salud ocupacional que tienen síntomas y tuvieron contacto con pacientes con infección respiratoria aguda que podría ser motivo de preocupación.</w:t>
      </w:r>
    </w:p>
    <w:p w14:paraId="12B39506" w14:textId="0EAAE4B1" w:rsidR="0043320C" w:rsidRPr="002F0AC5" w:rsidRDefault="0043320C" w:rsidP="0043320C">
      <w:pPr>
        <w:autoSpaceDE w:val="0"/>
        <w:autoSpaceDN w:val="0"/>
        <w:adjustRightInd w:val="0"/>
        <w:spacing w:after="0" w:line="240" w:lineRule="auto"/>
        <w:jc w:val="both"/>
        <w:rPr>
          <w:rFonts w:ascii="Arial" w:eastAsia="ArialMT" w:hAnsi="Arial" w:cs="Arial"/>
        </w:rPr>
      </w:pPr>
    </w:p>
    <w:p w14:paraId="001D9044" w14:textId="43D55814" w:rsidR="0043320C" w:rsidRPr="002F0AC5" w:rsidRDefault="0043320C" w:rsidP="0043320C">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Se diligenciará un formato de seguimiento a los funcionarios expuestos a infecciones respiratorias agudas. Ver anexo 1 </w:t>
      </w:r>
    </w:p>
    <w:p w14:paraId="0D52BEA4" w14:textId="77777777" w:rsidR="0043320C" w:rsidRPr="002F0AC5" w:rsidRDefault="0043320C" w:rsidP="0043320C">
      <w:pPr>
        <w:autoSpaceDE w:val="0"/>
        <w:autoSpaceDN w:val="0"/>
        <w:adjustRightInd w:val="0"/>
        <w:spacing w:after="0" w:line="240" w:lineRule="auto"/>
        <w:jc w:val="both"/>
        <w:rPr>
          <w:rFonts w:ascii="Arial" w:eastAsia="ArialMT" w:hAnsi="Arial" w:cs="Arial"/>
        </w:rPr>
      </w:pPr>
    </w:p>
    <w:p w14:paraId="03FA8528" w14:textId="2EDD9F74" w:rsidR="006C6F7D" w:rsidRPr="002F0AC5" w:rsidRDefault="00D53A00" w:rsidP="00374124">
      <w:pPr>
        <w:autoSpaceDE w:val="0"/>
        <w:autoSpaceDN w:val="0"/>
        <w:adjustRightInd w:val="0"/>
        <w:spacing w:after="0" w:line="240" w:lineRule="auto"/>
        <w:jc w:val="both"/>
        <w:rPr>
          <w:rFonts w:ascii="Arial" w:eastAsia="ArialMT" w:hAnsi="Arial" w:cs="Arial"/>
        </w:rPr>
      </w:pPr>
      <w:r w:rsidRPr="002F0AC5">
        <w:rPr>
          <w:rFonts w:ascii="Arial" w:eastAsia="ArialMT" w:hAnsi="Arial" w:cs="Arial"/>
        </w:rPr>
        <w:t xml:space="preserve">Se recomienda </w:t>
      </w:r>
      <w:r w:rsidR="000A159E" w:rsidRPr="002F0AC5">
        <w:rPr>
          <w:rFonts w:ascii="Arial" w:eastAsia="ArialMT" w:hAnsi="Arial" w:cs="Arial"/>
        </w:rPr>
        <w:t>que,</w:t>
      </w:r>
      <w:r w:rsidRPr="002F0AC5">
        <w:rPr>
          <w:rFonts w:ascii="Arial" w:eastAsia="ArialMT" w:hAnsi="Arial" w:cs="Arial"/>
        </w:rPr>
        <w:t xml:space="preserve"> en caso de </w:t>
      </w:r>
      <w:r w:rsidR="007C218A" w:rsidRPr="002F0AC5">
        <w:rPr>
          <w:rFonts w:ascii="Arial" w:eastAsia="ArialMT" w:hAnsi="Arial" w:cs="Arial"/>
        </w:rPr>
        <w:t>requerir</w:t>
      </w:r>
      <w:r w:rsidRPr="002F0AC5">
        <w:rPr>
          <w:rFonts w:ascii="Arial" w:eastAsia="ArialMT" w:hAnsi="Arial" w:cs="Arial"/>
        </w:rPr>
        <w:t xml:space="preserve"> apoyo con </w:t>
      </w:r>
      <w:r w:rsidR="000A159E" w:rsidRPr="002F0AC5">
        <w:rPr>
          <w:rFonts w:ascii="Arial" w:eastAsia="ArialMT" w:hAnsi="Arial" w:cs="Arial"/>
        </w:rPr>
        <w:t>infectología</w:t>
      </w:r>
      <w:r w:rsidRPr="002F0AC5">
        <w:rPr>
          <w:rFonts w:ascii="Arial" w:eastAsia="ArialMT" w:hAnsi="Arial" w:cs="Arial"/>
        </w:rPr>
        <w:t xml:space="preserve">, comunicarse al número </w:t>
      </w:r>
      <w:r w:rsidR="007C218A" w:rsidRPr="002F0AC5">
        <w:rPr>
          <w:rFonts w:ascii="Arial" w:eastAsia="ArialMT" w:hAnsi="Arial" w:cs="Arial"/>
        </w:rPr>
        <w:t>de celular 3187171982 – Línea gratuita ARL SURA 018000511414</w:t>
      </w:r>
      <w:r w:rsidR="000A159E">
        <w:rPr>
          <w:rFonts w:ascii="Arial" w:eastAsia="ArialMT" w:hAnsi="Arial" w:cs="Arial"/>
        </w:rPr>
        <w:t xml:space="preserve"> o 018000941414</w:t>
      </w:r>
    </w:p>
    <w:p w14:paraId="583739B5" w14:textId="3368CD81" w:rsidR="00CE3180" w:rsidRPr="002F0AC5" w:rsidRDefault="00011A87" w:rsidP="00532CAC">
      <w:pPr>
        <w:pStyle w:val="Ttulo1"/>
        <w:numPr>
          <w:ilvl w:val="0"/>
          <w:numId w:val="6"/>
        </w:numPr>
        <w:rPr>
          <w:rFonts w:eastAsia="ArialMT"/>
        </w:rPr>
      </w:pPr>
      <w:bookmarkStart w:id="19" w:name="_Toc32502179"/>
      <w:r w:rsidRPr="002F0AC5">
        <w:rPr>
          <w:rFonts w:eastAsia="ArialMT"/>
        </w:rPr>
        <w:t>BIBLIOGRAFIA</w:t>
      </w:r>
      <w:bookmarkEnd w:id="19"/>
    </w:p>
    <w:p w14:paraId="797F92D3" w14:textId="77777777" w:rsidR="00011A87" w:rsidRPr="002F0AC5" w:rsidRDefault="00011A87" w:rsidP="00374124">
      <w:pPr>
        <w:autoSpaceDE w:val="0"/>
        <w:autoSpaceDN w:val="0"/>
        <w:adjustRightInd w:val="0"/>
        <w:spacing w:after="0" w:line="240" w:lineRule="auto"/>
        <w:jc w:val="both"/>
        <w:rPr>
          <w:rFonts w:ascii="Arial" w:eastAsia="ArialMT" w:hAnsi="Arial" w:cs="Arial"/>
        </w:rPr>
      </w:pPr>
    </w:p>
    <w:p w14:paraId="133873FD" w14:textId="01CEB6AA" w:rsidR="00D924A6" w:rsidRPr="00D924A6" w:rsidRDefault="00416B5D" w:rsidP="00532CAC">
      <w:pPr>
        <w:pStyle w:val="Prrafodelista"/>
        <w:numPr>
          <w:ilvl w:val="0"/>
          <w:numId w:val="8"/>
        </w:numPr>
        <w:autoSpaceDE w:val="0"/>
        <w:autoSpaceDN w:val="0"/>
        <w:adjustRightInd w:val="0"/>
        <w:spacing w:after="0" w:line="240" w:lineRule="auto"/>
        <w:jc w:val="both"/>
        <w:rPr>
          <w:rFonts w:ascii="Arial" w:eastAsia="ArialMT" w:hAnsi="Arial" w:cs="Arial"/>
          <w:color w:val="000000" w:themeColor="text1"/>
        </w:rPr>
      </w:pPr>
      <w:r w:rsidRPr="00D924A6">
        <w:rPr>
          <w:rFonts w:ascii="Arial" w:eastAsia="ArialMT" w:hAnsi="Arial" w:cs="Arial"/>
          <w:color w:val="000000" w:themeColor="text1"/>
        </w:rPr>
        <w:t>P</w:t>
      </w:r>
      <w:r w:rsidR="00D924A6" w:rsidRPr="00D924A6">
        <w:rPr>
          <w:rFonts w:ascii="Arial" w:eastAsia="ArialMT" w:hAnsi="Arial" w:cs="Arial"/>
          <w:color w:val="000000" w:themeColor="text1"/>
        </w:rPr>
        <w:t>rotocolo para la atención por exposición de riesgo biológico laboral o no laboral, ante las infecciones de transmisión sexual, el virus de inmunodeficiencia humana, el virus de la hepatitis b y el virus de la hepatitis c, del ministerio de salud y protección social año 2017.</w:t>
      </w:r>
      <w:bookmarkStart w:id="20" w:name="_Toc454716695"/>
      <w:bookmarkStart w:id="21" w:name="_Toc505682576"/>
      <w:bookmarkStart w:id="22" w:name="_Toc507604284"/>
    </w:p>
    <w:p w14:paraId="63A3C72B" w14:textId="283C1E28" w:rsidR="00D924A6" w:rsidRPr="00D924A6" w:rsidRDefault="00FF25F0" w:rsidP="00532CAC">
      <w:pPr>
        <w:pStyle w:val="Prrafodelista"/>
        <w:numPr>
          <w:ilvl w:val="0"/>
          <w:numId w:val="8"/>
        </w:numPr>
        <w:autoSpaceDE w:val="0"/>
        <w:autoSpaceDN w:val="0"/>
        <w:adjustRightInd w:val="0"/>
        <w:spacing w:after="0" w:line="240" w:lineRule="auto"/>
        <w:jc w:val="both"/>
        <w:rPr>
          <w:rFonts w:ascii="Arial" w:eastAsia="ArialMT" w:hAnsi="Arial" w:cs="Arial"/>
          <w:color w:val="000000" w:themeColor="text1"/>
        </w:rPr>
      </w:pPr>
      <w:hyperlink r:id="rId9" w:history="1">
        <w:r w:rsidR="00D924A6" w:rsidRPr="00D924A6">
          <w:rPr>
            <w:rStyle w:val="Hipervnculo"/>
            <w:rFonts w:ascii="Arial" w:hAnsi="Arial" w:cs="Arial"/>
            <w:color w:val="000000" w:themeColor="text1"/>
          </w:rPr>
          <w:t>http://www.prioridadcero.com/wp-content/uploads/2014/03/Protocolo-postexposici%C3%B3n.pdf</w:t>
        </w:r>
      </w:hyperlink>
    </w:p>
    <w:p w14:paraId="4A4467FE" w14:textId="3F9B2239" w:rsidR="00D924A6" w:rsidRPr="00D924A6" w:rsidRDefault="00D53A00" w:rsidP="00532CAC">
      <w:pPr>
        <w:pStyle w:val="Prrafodelista"/>
        <w:numPr>
          <w:ilvl w:val="0"/>
          <w:numId w:val="8"/>
        </w:numPr>
        <w:autoSpaceDE w:val="0"/>
        <w:autoSpaceDN w:val="0"/>
        <w:adjustRightInd w:val="0"/>
        <w:spacing w:after="0" w:line="240" w:lineRule="auto"/>
        <w:jc w:val="both"/>
        <w:rPr>
          <w:rFonts w:ascii="Arial" w:eastAsia="ArialMT" w:hAnsi="Arial" w:cs="Arial"/>
          <w:color w:val="000000" w:themeColor="text1"/>
        </w:rPr>
      </w:pPr>
      <w:r w:rsidRPr="00D924A6">
        <w:rPr>
          <w:rFonts w:ascii="Arial" w:hAnsi="Arial" w:cs="Arial"/>
          <w:bCs/>
          <w:color w:val="000000" w:themeColor="text1"/>
        </w:rPr>
        <w:t xml:space="preserve">Guía de atención de la meningitis </w:t>
      </w:r>
      <w:r w:rsidR="00D924A6" w:rsidRPr="00D924A6">
        <w:rPr>
          <w:rFonts w:ascii="Arial" w:hAnsi="Arial" w:cs="Arial"/>
          <w:bCs/>
          <w:color w:val="000000" w:themeColor="text1"/>
        </w:rPr>
        <w:t>meningocócica</w:t>
      </w:r>
      <w:r w:rsidRPr="00D924A6">
        <w:rPr>
          <w:rFonts w:ascii="Arial" w:hAnsi="Arial" w:cs="Arial"/>
          <w:bCs/>
          <w:color w:val="000000" w:themeColor="text1"/>
        </w:rPr>
        <w:t xml:space="preserve"> </w:t>
      </w:r>
      <w:r w:rsidRPr="00D924A6">
        <w:rPr>
          <w:rFonts w:ascii="Arial" w:hAnsi="Arial" w:cs="Arial"/>
          <w:color w:val="000000" w:themeColor="text1"/>
        </w:rPr>
        <w:t>Ministerio de Salud – Dirección General de Promoción y Prevención</w:t>
      </w:r>
    </w:p>
    <w:p w14:paraId="16EE0BCB" w14:textId="77777777" w:rsidR="00D924A6" w:rsidRPr="00D924A6" w:rsidRDefault="00E84266" w:rsidP="00532CAC">
      <w:pPr>
        <w:pStyle w:val="Prrafodelista"/>
        <w:numPr>
          <w:ilvl w:val="0"/>
          <w:numId w:val="8"/>
        </w:numPr>
        <w:autoSpaceDE w:val="0"/>
        <w:autoSpaceDN w:val="0"/>
        <w:adjustRightInd w:val="0"/>
        <w:spacing w:after="0" w:line="240" w:lineRule="auto"/>
        <w:jc w:val="both"/>
        <w:rPr>
          <w:rFonts w:ascii="Arial" w:eastAsia="ArialMT" w:hAnsi="Arial" w:cs="Arial"/>
          <w:color w:val="000000" w:themeColor="text1"/>
        </w:rPr>
      </w:pPr>
      <w:r w:rsidRPr="00D924A6">
        <w:rPr>
          <w:rFonts w:ascii="Arial" w:hAnsi="Arial" w:cs="Arial"/>
          <w:color w:val="000000" w:themeColor="text1"/>
        </w:rPr>
        <w:t>Prevención y control de las infecciones respiratorias agudas con tendencia epidémica y pandémica durante la atención sanitaria</w:t>
      </w:r>
    </w:p>
    <w:p w14:paraId="66652050" w14:textId="77777777" w:rsidR="00D924A6" w:rsidRPr="00D924A6" w:rsidRDefault="00E84266" w:rsidP="00532CAC">
      <w:pPr>
        <w:pStyle w:val="Prrafodelista"/>
        <w:numPr>
          <w:ilvl w:val="0"/>
          <w:numId w:val="8"/>
        </w:numPr>
        <w:autoSpaceDE w:val="0"/>
        <w:autoSpaceDN w:val="0"/>
        <w:adjustRightInd w:val="0"/>
        <w:spacing w:after="0" w:line="240" w:lineRule="auto"/>
        <w:jc w:val="both"/>
        <w:rPr>
          <w:rFonts w:ascii="Arial" w:eastAsia="ArialMT" w:hAnsi="Arial" w:cs="Arial"/>
          <w:color w:val="000000" w:themeColor="text1"/>
        </w:rPr>
      </w:pPr>
      <w:r w:rsidRPr="00D924A6">
        <w:rPr>
          <w:rFonts w:ascii="Arial" w:hAnsi="Arial" w:cs="Arial"/>
          <w:color w:val="000000" w:themeColor="text1"/>
        </w:rPr>
        <w:t>Directrices de la Organización Mundial de la Salud</w:t>
      </w:r>
    </w:p>
    <w:p w14:paraId="5187A899" w14:textId="26F6D564" w:rsidR="00E84266" w:rsidRPr="00D924A6" w:rsidRDefault="00E84266" w:rsidP="00532CAC">
      <w:pPr>
        <w:pStyle w:val="Prrafodelista"/>
        <w:numPr>
          <w:ilvl w:val="0"/>
          <w:numId w:val="8"/>
        </w:numPr>
        <w:autoSpaceDE w:val="0"/>
        <w:autoSpaceDN w:val="0"/>
        <w:adjustRightInd w:val="0"/>
        <w:spacing w:after="0" w:line="240" w:lineRule="auto"/>
        <w:jc w:val="both"/>
        <w:rPr>
          <w:rFonts w:ascii="Arial" w:eastAsia="ArialMT" w:hAnsi="Arial" w:cs="Arial"/>
          <w:color w:val="000000" w:themeColor="text1"/>
        </w:rPr>
      </w:pPr>
      <w:r w:rsidRPr="00D924A6">
        <w:rPr>
          <w:rFonts w:ascii="Arial" w:hAnsi="Arial" w:cs="Arial"/>
          <w:color w:val="000000" w:themeColor="text1"/>
        </w:rPr>
        <w:t>Organización Mundial de la Salud 2014</w:t>
      </w:r>
    </w:p>
    <w:p w14:paraId="5C5BD4AA" w14:textId="77777777" w:rsidR="00AE3D35" w:rsidRPr="002F0AC5" w:rsidRDefault="00AE3D35" w:rsidP="00011A87">
      <w:pPr>
        <w:autoSpaceDE w:val="0"/>
        <w:autoSpaceDN w:val="0"/>
        <w:adjustRightInd w:val="0"/>
        <w:spacing w:after="0" w:line="240" w:lineRule="auto"/>
        <w:jc w:val="both"/>
        <w:rPr>
          <w:rFonts w:ascii="Arial" w:hAnsi="Arial" w:cs="Arial"/>
          <w:b/>
          <w:bCs/>
          <w:color w:val="FFFFFF"/>
        </w:rPr>
      </w:pPr>
    </w:p>
    <w:p w14:paraId="49FA6ADA" w14:textId="02724439" w:rsidR="00AE3D35" w:rsidRPr="002F0AC5" w:rsidRDefault="00AE3D35" w:rsidP="00011A87">
      <w:pPr>
        <w:autoSpaceDE w:val="0"/>
        <w:autoSpaceDN w:val="0"/>
        <w:adjustRightInd w:val="0"/>
        <w:spacing w:after="0" w:line="240" w:lineRule="auto"/>
        <w:jc w:val="both"/>
        <w:rPr>
          <w:rFonts w:ascii="Arial" w:hAnsi="Arial" w:cs="Arial"/>
          <w:b/>
          <w:bCs/>
          <w:color w:val="FFFFFF"/>
        </w:rPr>
      </w:pPr>
    </w:p>
    <w:p w14:paraId="4AE696E7" w14:textId="77777777" w:rsidR="00CA7A57" w:rsidRPr="002F0AC5" w:rsidRDefault="00CA7A57" w:rsidP="00532CAC">
      <w:pPr>
        <w:pStyle w:val="Ttulo1"/>
        <w:numPr>
          <w:ilvl w:val="0"/>
          <w:numId w:val="6"/>
        </w:numPr>
        <w:jc w:val="both"/>
        <w:rPr>
          <w:rFonts w:eastAsia="ArialMT"/>
        </w:rPr>
      </w:pPr>
      <w:bookmarkStart w:id="23" w:name="_Toc32502180"/>
      <w:r w:rsidRPr="002F0AC5">
        <w:lastRenderedPageBreak/>
        <w:t>CONTROL DE REVISIONES Y CAMBIOS DEL DOCUMENTO</w:t>
      </w:r>
      <w:bookmarkEnd w:id="20"/>
      <w:bookmarkEnd w:id="21"/>
      <w:bookmarkEnd w:id="22"/>
      <w:bookmarkEnd w:id="23"/>
    </w:p>
    <w:p w14:paraId="0B37FDB4" w14:textId="77777777" w:rsidR="003A400C" w:rsidRPr="002F0AC5" w:rsidRDefault="003A400C" w:rsidP="003A400C">
      <w:pPr>
        <w:pStyle w:val="Prrafodelista"/>
        <w:spacing w:after="0" w:line="240" w:lineRule="auto"/>
        <w:ind w:right="-400"/>
        <w:jc w:val="both"/>
        <w:rPr>
          <w:rFonts w:ascii="Arial" w:eastAsia="Times New Roman" w:hAnsi="Arial" w:cs="Arial"/>
          <w:lang w:val="es-ES"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3402"/>
        <w:gridCol w:w="3089"/>
      </w:tblGrid>
      <w:tr w:rsidR="003A400C" w:rsidRPr="002F0AC5" w14:paraId="792F0214" w14:textId="77777777" w:rsidTr="00D924A6">
        <w:trPr>
          <w:trHeight w:val="240"/>
        </w:trPr>
        <w:tc>
          <w:tcPr>
            <w:tcW w:w="2723" w:type="dxa"/>
            <w:shd w:val="clear" w:color="auto" w:fill="C6D9F1"/>
            <w:vAlign w:val="center"/>
          </w:tcPr>
          <w:p w14:paraId="07F67814" w14:textId="77777777" w:rsidR="003A400C" w:rsidRPr="002F0AC5" w:rsidRDefault="003A400C" w:rsidP="00D924A6">
            <w:pPr>
              <w:ind w:right="-2"/>
              <w:jc w:val="center"/>
              <w:rPr>
                <w:rFonts w:ascii="Arial" w:hAnsi="Arial" w:cs="Arial"/>
                <w:b/>
              </w:rPr>
            </w:pPr>
            <w:r w:rsidRPr="002F0AC5">
              <w:rPr>
                <w:rFonts w:ascii="Arial" w:hAnsi="Arial" w:cs="Arial"/>
                <w:b/>
              </w:rPr>
              <w:t>ELABORÓ</w:t>
            </w:r>
          </w:p>
        </w:tc>
        <w:tc>
          <w:tcPr>
            <w:tcW w:w="3402" w:type="dxa"/>
            <w:shd w:val="clear" w:color="auto" w:fill="C6D9F1"/>
            <w:vAlign w:val="center"/>
          </w:tcPr>
          <w:p w14:paraId="15694281" w14:textId="77777777" w:rsidR="003A400C" w:rsidRPr="002F0AC5" w:rsidRDefault="003A400C" w:rsidP="00D924A6">
            <w:pPr>
              <w:jc w:val="center"/>
              <w:rPr>
                <w:rFonts w:ascii="Arial" w:hAnsi="Arial" w:cs="Arial"/>
                <w:b/>
              </w:rPr>
            </w:pPr>
            <w:r w:rsidRPr="002F0AC5">
              <w:rPr>
                <w:rFonts w:ascii="Arial" w:hAnsi="Arial" w:cs="Arial"/>
                <w:b/>
              </w:rPr>
              <w:t>REVISO</w:t>
            </w:r>
          </w:p>
        </w:tc>
        <w:tc>
          <w:tcPr>
            <w:tcW w:w="3089" w:type="dxa"/>
            <w:shd w:val="clear" w:color="auto" w:fill="C6D9F1"/>
            <w:vAlign w:val="center"/>
          </w:tcPr>
          <w:p w14:paraId="0228FAED" w14:textId="77777777" w:rsidR="003A400C" w:rsidRPr="002F0AC5" w:rsidRDefault="003A400C" w:rsidP="00D924A6">
            <w:pPr>
              <w:ind w:right="4"/>
              <w:jc w:val="center"/>
              <w:rPr>
                <w:rFonts w:ascii="Arial" w:hAnsi="Arial" w:cs="Arial"/>
                <w:b/>
              </w:rPr>
            </w:pPr>
            <w:r w:rsidRPr="002F0AC5">
              <w:rPr>
                <w:rFonts w:ascii="Arial" w:hAnsi="Arial" w:cs="Arial"/>
                <w:b/>
              </w:rPr>
              <w:t>APROBO</w:t>
            </w:r>
          </w:p>
        </w:tc>
      </w:tr>
      <w:tr w:rsidR="003A400C" w:rsidRPr="002F0AC5" w14:paraId="5C2E1067" w14:textId="77777777" w:rsidTr="00D924A6">
        <w:trPr>
          <w:trHeight w:val="2869"/>
        </w:trPr>
        <w:tc>
          <w:tcPr>
            <w:tcW w:w="2723" w:type="dxa"/>
            <w:vAlign w:val="bottom"/>
          </w:tcPr>
          <w:p w14:paraId="1B6FAB03" w14:textId="77777777" w:rsidR="003A400C" w:rsidRPr="002F0AC5" w:rsidRDefault="00397BBF" w:rsidP="00D924A6">
            <w:pPr>
              <w:spacing w:after="0"/>
              <w:jc w:val="center"/>
              <w:rPr>
                <w:rFonts w:ascii="Arial" w:hAnsi="Arial" w:cs="Arial"/>
              </w:rPr>
            </w:pPr>
            <w:r w:rsidRPr="002F0AC5">
              <w:rPr>
                <w:rFonts w:ascii="Arial" w:hAnsi="Arial" w:cs="Arial"/>
                <w:b/>
              </w:rPr>
              <w:t>Ricardo Almario Mejía</w:t>
            </w:r>
          </w:p>
          <w:p w14:paraId="7A20C1E4" w14:textId="77777777" w:rsidR="003A400C" w:rsidRDefault="00397BBF" w:rsidP="00D924A6">
            <w:pPr>
              <w:spacing w:after="0"/>
              <w:jc w:val="center"/>
              <w:rPr>
                <w:rFonts w:ascii="Arial" w:hAnsi="Arial" w:cs="Arial"/>
              </w:rPr>
            </w:pPr>
            <w:r w:rsidRPr="002F0AC5">
              <w:rPr>
                <w:rFonts w:ascii="Arial" w:hAnsi="Arial" w:cs="Arial"/>
              </w:rPr>
              <w:t>Apoyo del SG-SST</w:t>
            </w:r>
          </w:p>
          <w:p w14:paraId="095A742D" w14:textId="77777777" w:rsidR="00D924A6" w:rsidRDefault="00D924A6" w:rsidP="00D924A6">
            <w:pPr>
              <w:spacing w:after="0"/>
              <w:ind w:right="-400"/>
              <w:rPr>
                <w:rFonts w:ascii="Arial" w:hAnsi="Arial" w:cs="Arial"/>
              </w:rPr>
            </w:pPr>
          </w:p>
          <w:p w14:paraId="005529B3" w14:textId="77777777" w:rsidR="00D924A6" w:rsidRDefault="00D924A6" w:rsidP="00D924A6">
            <w:pPr>
              <w:spacing w:after="0"/>
              <w:ind w:right="-400"/>
              <w:rPr>
                <w:rFonts w:ascii="Arial" w:hAnsi="Arial" w:cs="Arial"/>
              </w:rPr>
            </w:pPr>
          </w:p>
          <w:p w14:paraId="6DF74D98" w14:textId="6E279A3E" w:rsidR="00D924A6" w:rsidRPr="002F0AC5" w:rsidRDefault="00D924A6" w:rsidP="00D924A6">
            <w:pPr>
              <w:spacing w:after="0"/>
              <w:ind w:right="-400"/>
              <w:rPr>
                <w:rFonts w:ascii="Arial" w:hAnsi="Arial" w:cs="Arial"/>
              </w:rPr>
            </w:pPr>
          </w:p>
        </w:tc>
        <w:tc>
          <w:tcPr>
            <w:tcW w:w="3402" w:type="dxa"/>
            <w:vAlign w:val="bottom"/>
          </w:tcPr>
          <w:p w14:paraId="4368B927" w14:textId="77777777" w:rsidR="003A400C" w:rsidRPr="002F0AC5" w:rsidRDefault="003A400C" w:rsidP="003A400C">
            <w:pPr>
              <w:spacing w:after="0"/>
              <w:ind w:right="-400"/>
              <w:jc w:val="center"/>
              <w:rPr>
                <w:rFonts w:ascii="Arial" w:hAnsi="Arial" w:cs="Arial"/>
                <w:b/>
              </w:rPr>
            </w:pPr>
          </w:p>
          <w:p w14:paraId="356BE08F" w14:textId="77777777" w:rsidR="003A400C" w:rsidRPr="002F0AC5" w:rsidRDefault="009B1646" w:rsidP="00D924A6">
            <w:pPr>
              <w:spacing w:after="0"/>
              <w:jc w:val="center"/>
              <w:rPr>
                <w:rFonts w:ascii="Arial" w:hAnsi="Arial" w:cs="Arial"/>
                <w:b/>
              </w:rPr>
            </w:pPr>
            <w:r w:rsidRPr="002F0AC5">
              <w:rPr>
                <w:rFonts w:ascii="Arial" w:hAnsi="Arial" w:cs="Arial"/>
                <w:b/>
              </w:rPr>
              <w:t>DUFFAY GONZALES</w:t>
            </w:r>
          </w:p>
          <w:p w14:paraId="06929DAD" w14:textId="77777777" w:rsidR="003A400C" w:rsidRPr="00D924A6" w:rsidRDefault="009B1646" w:rsidP="00D924A6">
            <w:pPr>
              <w:spacing w:after="0"/>
              <w:jc w:val="center"/>
              <w:rPr>
                <w:rFonts w:ascii="Arial" w:hAnsi="Arial" w:cs="Arial"/>
                <w:bCs/>
              </w:rPr>
            </w:pPr>
            <w:r w:rsidRPr="00D924A6">
              <w:rPr>
                <w:rFonts w:ascii="Arial" w:hAnsi="Arial" w:cs="Arial"/>
                <w:bCs/>
              </w:rPr>
              <w:t>Epidemióloga</w:t>
            </w:r>
          </w:p>
          <w:p w14:paraId="41B7B384" w14:textId="228D551A" w:rsidR="009B1646" w:rsidRDefault="009B1646" w:rsidP="00D924A6">
            <w:pPr>
              <w:spacing w:after="0"/>
              <w:jc w:val="center"/>
              <w:rPr>
                <w:rFonts w:ascii="Arial" w:hAnsi="Arial" w:cs="Arial"/>
                <w:b/>
              </w:rPr>
            </w:pPr>
          </w:p>
          <w:p w14:paraId="0B4A1B92" w14:textId="682101D6" w:rsidR="00D924A6" w:rsidRDefault="00D924A6" w:rsidP="00D924A6">
            <w:pPr>
              <w:spacing w:after="0"/>
              <w:jc w:val="center"/>
              <w:rPr>
                <w:rFonts w:ascii="Arial" w:hAnsi="Arial" w:cs="Arial"/>
                <w:b/>
              </w:rPr>
            </w:pPr>
          </w:p>
          <w:p w14:paraId="55506A4C" w14:textId="77777777" w:rsidR="00D924A6" w:rsidRPr="002F0AC5" w:rsidRDefault="00D924A6" w:rsidP="00D924A6">
            <w:pPr>
              <w:spacing w:after="0"/>
              <w:jc w:val="center"/>
              <w:rPr>
                <w:rFonts w:ascii="Arial" w:hAnsi="Arial" w:cs="Arial"/>
                <w:b/>
              </w:rPr>
            </w:pPr>
          </w:p>
          <w:p w14:paraId="3F6E953C" w14:textId="77777777" w:rsidR="003A400C" w:rsidRPr="002F0AC5" w:rsidRDefault="00397BBF" w:rsidP="00D924A6">
            <w:pPr>
              <w:spacing w:after="0"/>
              <w:jc w:val="center"/>
              <w:rPr>
                <w:rFonts w:ascii="Arial" w:hAnsi="Arial" w:cs="Arial"/>
                <w:b/>
              </w:rPr>
            </w:pPr>
            <w:r w:rsidRPr="002F0AC5">
              <w:rPr>
                <w:rFonts w:ascii="Arial" w:hAnsi="Arial" w:cs="Arial"/>
                <w:b/>
              </w:rPr>
              <w:t>Brisa Marina Díaz</w:t>
            </w:r>
          </w:p>
          <w:p w14:paraId="4F7B165B" w14:textId="3E19603E" w:rsidR="003A400C" w:rsidRPr="002F0AC5" w:rsidRDefault="00397BBF" w:rsidP="00D924A6">
            <w:pPr>
              <w:spacing w:after="0"/>
              <w:jc w:val="center"/>
              <w:rPr>
                <w:rFonts w:ascii="Arial" w:hAnsi="Arial" w:cs="Arial"/>
              </w:rPr>
            </w:pPr>
            <w:r w:rsidRPr="002F0AC5">
              <w:rPr>
                <w:rFonts w:ascii="Arial" w:hAnsi="Arial" w:cs="Arial"/>
              </w:rPr>
              <w:t>Líder del SG-SST</w:t>
            </w:r>
          </w:p>
        </w:tc>
        <w:tc>
          <w:tcPr>
            <w:tcW w:w="3089" w:type="dxa"/>
            <w:vAlign w:val="bottom"/>
          </w:tcPr>
          <w:p w14:paraId="07B471E3" w14:textId="77777777" w:rsidR="003A400C" w:rsidRPr="002F0AC5" w:rsidRDefault="003A400C" w:rsidP="00D924A6">
            <w:pPr>
              <w:spacing w:after="0"/>
              <w:rPr>
                <w:rFonts w:ascii="Arial" w:hAnsi="Arial" w:cs="Arial"/>
                <w:b/>
              </w:rPr>
            </w:pPr>
            <w:r w:rsidRPr="002F0AC5">
              <w:rPr>
                <w:rFonts w:ascii="Arial" w:hAnsi="Arial" w:cs="Arial"/>
                <w:b/>
              </w:rPr>
              <w:t xml:space="preserve">   Cesar. A. Jara</w:t>
            </w:r>
            <w:bookmarkStart w:id="24" w:name="_GoBack"/>
            <w:bookmarkEnd w:id="24"/>
            <w:r w:rsidRPr="002F0AC5">
              <w:rPr>
                <w:rFonts w:ascii="Arial" w:hAnsi="Arial" w:cs="Arial"/>
                <w:b/>
              </w:rPr>
              <w:t>millo M.</w:t>
            </w:r>
          </w:p>
          <w:p w14:paraId="7F64ADA8" w14:textId="77777777" w:rsidR="003A400C" w:rsidRDefault="003A400C" w:rsidP="00D924A6">
            <w:pPr>
              <w:spacing w:after="0"/>
              <w:rPr>
                <w:rFonts w:ascii="Arial" w:hAnsi="Arial" w:cs="Arial"/>
              </w:rPr>
            </w:pPr>
            <w:r w:rsidRPr="002F0AC5">
              <w:rPr>
                <w:rFonts w:ascii="Arial" w:hAnsi="Arial" w:cs="Arial"/>
              </w:rPr>
              <w:t xml:space="preserve">              Gerente</w:t>
            </w:r>
          </w:p>
          <w:p w14:paraId="0FEE178B" w14:textId="77777777" w:rsidR="00D924A6" w:rsidRDefault="00D924A6" w:rsidP="00D924A6">
            <w:pPr>
              <w:spacing w:after="0"/>
              <w:ind w:right="-400"/>
              <w:rPr>
                <w:rFonts w:ascii="Arial" w:hAnsi="Arial" w:cs="Arial"/>
                <w:b/>
              </w:rPr>
            </w:pPr>
          </w:p>
          <w:p w14:paraId="6412C815" w14:textId="77777777" w:rsidR="00D924A6" w:rsidRDefault="00D924A6" w:rsidP="00D924A6">
            <w:pPr>
              <w:spacing w:after="0"/>
              <w:ind w:right="-400"/>
              <w:rPr>
                <w:rFonts w:ascii="Arial" w:hAnsi="Arial" w:cs="Arial"/>
                <w:b/>
              </w:rPr>
            </w:pPr>
          </w:p>
          <w:p w14:paraId="742F787C" w14:textId="3C09EE96" w:rsidR="00D924A6" w:rsidRPr="002F0AC5" w:rsidRDefault="00D924A6" w:rsidP="00D924A6">
            <w:pPr>
              <w:spacing w:after="0"/>
              <w:ind w:right="-400"/>
              <w:rPr>
                <w:rFonts w:ascii="Arial" w:hAnsi="Arial" w:cs="Arial"/>
                <w:b/>
              </w:rPr>
            </w:pPr>
          </w:p>
        </w:tc>
      </w:tr>
    </w:tbl>
    <w:tbl>
      <w:tblPr>
        <w:tblpPr w:leftFromText="141" w:rightFromText="141" w:vertAnchor="text" w:horzAnchor="margin" w:tblpY="5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736"/>
        <w:gridCol w:w="5216"/>
      </w:tblGrid>
      <w:tr w:rsidR="00D924A6" w:rsidRPr="002F0AC5" w14:paraId="1D932DF8" w14:textId="77777777" w:rsidTr="00D924A6">
        <w:trPr>
          <w:trHeight w:val="438"/>
        </w:trPr>
        <w:tc>
          <w:tcPr>
            <w:tcW w:w="1228" w:type="dxa"/>
            <w:shd w:val="clear" w:color="auto" w:fill="B8CCE4" w:themeFill="accent1" w:themeFillTint="66"/>
            <w:vAlign w:val="center"/>
          </w:tcPr>
          <w:p w14:paraId="6D18E01F" w14:textId="77777777" w:rsidR="00D924A6" w:rsidRPr="002F0AC5" w:rsidRDefault="00D924A6" w:rsidP="00D924A6">
            <w:pPr>
              <w:spacing w:after="0" w:line="240" w:lineRule="auto"/>
              <w:ind w:right="-9"/>
              <w:jc w:val="center"/>
              <w:rPr>
                <w:rFonts w:ascii="Arial" w:eastAsia="Times New Roman" w:hAnsi="Arial" w:cs="Arial"/>
                <w:b/>
                <w:lang w:val="es-ES" w:eastAsia="es-ES"/>
              </w:rPr>
            </w:pPr>
            <w:r w:rsidRPr="002F0AC5">
              <w:rPr>
                <w:rFonts w:ascii="Arial" w:eastAsia="Times New Roman" w:hAnsi="Arial" w:cs="Arial"/>
                <w:b/>
                <w:lang w:val="es-ES" w:eastAsia="es-ES"/>
              </w:rPr>
              <w:t>VERSION</w:t>
            </w:r>
          </w:p>
        </w:tc>
        <w:tc>
          <w:tcPr>
            <w:tcW w:w="2736" w:type="dxa"/>
            <w:shd w:val="clear" w:color="auto" w:fill="B8CCE4" w:themeFill="accent1" w:themeFillTint="66"/>
            <w:vAlign w:val="center"/>
          </w:tcPr>
          <w:p w14:paraId="6E5AFF3E" w14:textId="77777777" w:rsidR="00D924A6" w:rsidRPr="002F0AC5" w:rsidRDefault="00D924A6" w:rsidP="00D924A6">
            <w:pPr>
              <w:tabs>
                <w:tab w:val="left" w:pos="2494"/>
              </w:tabs>
              <w:spacing w:after="0" w:line="240" w:lineRule="auto"/>
              <w:ind w:right="-9"/>
              <w:jc w:val="center"/>
              <w:rPr>
                <w:rFonts w:ascii="Arial" w:eastAsia="Times New Roman" w:hAnsi="Arial" w:cs="Arial"/>
                <w:b/>
                <w:lang w:val="es-ES" w:eastAsia="es-ES"/>
              </w:rPr>
            </w:pPr>
            <w:r w:rsidRPr="002F0AC5">
              <w:rPr>
                <w:rFonts w:ascii="Arial" w:eastAsia="Times New Roman" w:hAnsi="Arial" w:cs="Arial"/>
                <w:b/>
                <w:lang w:val="es-ES" w:eastAsia="es-ES"/>
              </w:rPr>
              <w:t>FECHA DE REVISION O ACTUALIZACION</w:t>
            </w:r>
          </w:p>
        </w:tc>
        <w:tc>
          <w:tcPr>
            <w:tcW w:w="5216" w:type="dxa"/>
            <w:shd w:val="clear" w:color="auto" w:fill="B8CCE4" w:themeFill="accent1" w:themeFillTint="66"/>
            <w:vAlign w:val="center"/>
          </w:tcPr>
          <w:p w14:paraId="33FEE2A3" w14:textId="77777777" w:rsidR="00D924A6" w:rsidRPr="002F0AC5" w:rsidRDefault="00D924A6" w:rsidP="00D924A6">
            <w:pPr>
              <w:autoSpaceDE w:val="0"/>
              <w:autoSpaceDN w:val="0"/>
              <w:adjustRightInd w:val="0"/>
              <w:spacing w:after="0" w:line="240" w:lineRule="auto"/>
              <w:ind w:right="-9"/>
              <w:jc w:val="center"/>
              <w:rPr>
                <w:rFonts w:ascii="Arial" w:eastAsia="Times New Roman" w:hAnsi="Arial" w:cs="Arial"/>
                <w:b/>
                <w:lang w:val="es-ES" w:eastAsia="es-ES"/>
              </w:rPr>
            </w:pPr>
            <w:r w:rsidRPr="002F0AC5">
              <w:rPr>
                <w:rFonts w:ascii="Arial" w:eastAsia="Times New Roman" w:hAnsi="Arial" w:cs="Arial"/>
                <w:b/>
                <w:lang w:val="es-ES" w:eastAsia="es-ES"/>
              </w:rPr>
              <w:t>DESCRIPCION GENERAL DEL</w:t>
            </w:r>
          </w:p>
          <w:p w14:paraId="54495D75" w14:textId="77777777" w:rsidR="00D924A6" w:rsidRPr="002F0AC5" w:rsidRDefault="00D924A6" w:rsidP="00D924A6">
            <w:pPr>
              <w:spacing w:after="0" w:line="240" w:lineRule="auto"/>
              <w:ind w:right="-9"/>
              <w:jc w:val="center"/>
              <w:rPr>
                <w:rFonts w:ascii="Arial" w:eastAsia="Times New Roman" w:hAnsi="Arial" w:cs="Arial"/>
                <w:b/>
                <w:lang w:val="es-ES" w:eastAsia="es-ES"/>
              </w:rPr>
            </w:pPr>
            <w:r w:rsidRPr="002F0AC5">
              <w:rPr>
                <w:rFonts w:ascii="Arial" w:eastAsia="Times New Roman" w:hAnsi="Arial" w:cs="Arial"/>
                <w:b/>
                <w:lang w:val="es-ES" w:eastAsia="es-ES"/>
              </w:rPr>
              <w:t>CAMBIO REALIZADO</w:t>
            </w:r>
          </w:p>
        </w:tc>
      </w:tr>
      <w:tr w:rsidR="00D924A6" w:rsidRPr="002F0AC5" w14:paraId="3AE88B75" w14:textId="77777777" w:rsidTr="00D924A6">
        <w:trPr>
          <w:trHeight w:val="219"/>
        </w:trPr>
        <w:tc>
          <w:tcPr>
            <w:tcW w:w="1228" w:type="dxa"/>
            <w:vAlign w:val="center"/>
          </w:tcPr>
          <w:p w14:paraId="32573C1E" w14:textId="77777777" w:rsidR="00D924A6" w:rsidRPr="002F0AC5" w:rsidRDefault="00D924A6" w:rsidP="00D924A6">
            <w:pPr>
              <w:spacing w:after="0" w:line="240" w:lineRule="auto"/>
              <w:ind w:right="-400"/>
              <w:rPr>
                <w:rFonts w:ascii="Arial" w:eastAsia="Times New Roman" w:hAnsi="Arial" w:cs="Arial"/>
                <w:lang w:val="es-ES" w:eastAsia="es-ES"/>
              </w:rPr>
            </w:pPr>
            <w:r w:rsidRPr="002F0AC5">
              <w:rPr>
                <w:rFonts w:ascii="Arial" w:eastAsia="Times New Roman" w:hAnsi="Arial" w:cs="Arial"/>
                <w:lang w:val="es-ES" w:eastAsia="es-ES"/>
              </w:rPr>
              <w:t xml:space="preserve">     1.0</w:t>
            </w:r>
          </w:p>
        </w:tc>
        <w:tc>
          <w:tcPr>
            <w:tcW w:w="2736" w:type="dxa"/>
            <w:vAlign w:val="center"/>
          </w:tcPr>
          <w:p w14:paraId="57AA0724" w14:textId="01D210F6" w:rsidR="00D924A6" w:rsidRPr="002F0AC5" w:rsidRDefault="00D924A6" w:rsidP="00D924A6">
            <w:pPr>
              <w:spacing w:after="0" w:line="240" w:lineRule="auto"/>
              <w:ind w:right="-400"/>
              <w:rPr>
                <w:rFonts w:ascii="Arial" w:eastAsia="Times New Roman" w:hAnsi="Arial" w:cs="Arial"/>
                <w:lang w:val="es-ES" w:eastAsia="es-ES"/>
              </w:rPr>
            </w:pPr>
            <w:r w:rsidRPr="002F0AC5">
              <w:rPr>
                <w:rFonts w:ascii="Arial" w:eastAsia="Times New Roman" w:hAnsi="Arial" w:cs="Arial"/>
                <w:lang w:val="es-ES" w:eastAsia="es-ES"/>
              </w:rPr>
              <w:t xml:space="preserve">      </w:t>
            </w:r>
            <w:r w:rsidRPr="002F0AC5">
              <w:rPr>
                <w:rFonts w:ascii="Arial" w:hAnsi="Arial" w:cs="Arial"/>
                <w:color w:val="000000" w:themeColor="text1"/>
              </w:rPr>
              <w:t xml:space="preserve"> </w:t>
            </w:r>
            <w:r w:rsidR="00FA2E2B">
              <w:rPr>
                <w:rFonts w:ascii="Arial" w:hAnsi="Arial" w:cs="Arial"/>
                <w:color w:val="000000" w:themeColor="text1"/>
              </w:rPr>
              <w:t>14/02/2020</w:t>
            </w:r>
          </w:p>
        </w:tc>
        <w:tc>
          <w:tcPr>
            <w:tcW w:w="5216" w:type="dxa"/>
            <w:vAlign w:val="center"/>
          </w:tcPr>
          <w:p w14:paraId="30E0CB6B" w14:textId="77777777" w:rsidR="00D924A6" w:rsidRPr="002F0AC5" w:rsidRDefault="00D924A6" w:rsidP="00D924A6">
            <w:pPr>
              <w:spacing w:after="0" w:line="240" w:lineRule="auto"/>
              <w:ind w:right="-400"/>
              <w:rPr>
                <w:rFonts w:ascii="Arial" w:eastAsia="Times New Roman" w:hAnsi="Arial" w:cs="Arial"/>
                <w:lang w:val="es-ES" w:eastAsia="es-ES"/>
              </w:rPr>
            </w:pPr>
            <w:r w:rsidRPr="002F0AC5">
              <w:rPr>
                <w:rFonts w:ascii="Arial" w:hAnsi="Arial" w:cs="Arial"/>
              </w:rPr>
              <w:t>Se creó por primera vez el documento</w:t>
            </w:r>
          </w:p>
        </w:tc>
      </w:tr>
    </w:tbl>
    <w:p w14:paraId="6E3813DC" w14:textId="7537F5BD" w:rsidR="003A400C" w:rsidRPr="002F0AC5" w:rsidRDefault="003A400C" w:rsidP="00D924A6">
      <w:pPr>
        <w:spacing w:after="0"/>
        <w:rPr>
          <w:rFonts w:ascii="Arial" w:hAnsi="Arial" w:cs="Arial"/>
        </w:rPr>
      </w:pPr>
    </w:p>
    <w:sectPr w:rsidR="003A400C" w:rsidRPr="002F0AC5" w:rsidSect="002F0AC5">
      <w:headerReference w:type="default" r:id="rId10"/>
      <w:footerReference w:type="default" r:id="rId11"/>
      <w:pgSz w:w="12240" w:h="15840"/>
      <w:pgMar w:top="1417" w:right="1701" w:bottom="141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A064B" w14:textId="77777777" w:rsidR="00FF25F0" w:rsidRDefault="00FF25F0" w:rsidP="00781642">
      <w:pPr>
        <w:spacing w:after="0" w:line="240" w:lineRule="auto"/>
      </w:pPr>
      <w:r>
        <w:separator/>
      </w:r>
    </w:p>
  </w:endnote>
  <w:endnote w:type="continuationSeparator" w:id="0">
    <w:p w14:paraId="36213903" w14:textId="77777777" w:rsidR="00FF25F0" w:rsidRDefault="00FF25F0" w:rsidP="0078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4C1C" w14:textId="29B83294" w:rsidR="00AA37CF" w:rsidRDefault="00AA37CF" w:rsidP="00AF7890">
    <w:pPr>
      <w:pStyle w:val="Piedepgina"/>
      <w:tabs>
        <w:tab w:val="left" w:pos="237"/>
      </w:tabs>
      <w:rPr>
        <w:rFonts w:ascii="Arial" w:hAnsi="Arial" w:cs="Arial"/>
        <w:i/>
        <w:sz w:val="16"/>
        <w:szCs w:val="16"/>
      </w:rPr>
    </w:pPr>
    <w:r>
      <w:rPr>
        <w:rFonts w:ascii="Arial" w:hAnsi="Arial" w:cs="Arial"/>
        <w:i/>
        <w:sz w:val="16"/>
        <w:szCs w:val="16"/>
      </w:rPr>
      <w:tab/>
    </w:r>
    <w:r>
      <w:rPr>
        <w:rFonts w:ascii="Arial" w:hAnsi="Arial" w:cs="Arial"/>
        <w:i/>
        <w:sz w:val="16"/>
        <w:szCs w:val="16"/>
      </w:rPr>
      <w:tab/>
      <w:t>_______________________________________________</w:t>
    </w:r>
    <w:r w:rsidR="002F0AC5">
      <w:rPr>
        <w:rFonts w:ascii="Arial" w:hAnsi="Arial" w:cs="Arial"/>
        <w:i/>
        <w:sz w:val="16"/>
        <w:szCs w:val="16"/>
      </w:rPr>
      <w:t>________</w:t>
    </w:r>
    <w:r>
      <w:rPr>
        <w:rFonts w:ascii="Arial" w:hAnsi="Arial" w:cs="Arial"/>
        <w:i/>
        <w:sz w:val="16"/>
        <w:szCs w:val="16"/>
      </w:rPr>
      <w:t>_______________________________________</w:t>
    </w:r>
  </w:p>
  <w:p w14:paraId="23C7F499" w14:textId="2F72F5D1" w:rsidR="00AA37CF" w:rsidRPr="00D756AC" w:rsidRDefault="00AA37CF" w:rsidP="002F0AC5">
    <w:pPr>
      <w:pStyle w:val="Piedepgina"/>
      <w:jc w:val="center"/>
      <w:rPr>
        <w:rFonts w:ascii="Arial" w:hAnsi="Arial" w:cs="Arial"/>
        <w:i/>
        <w:sz w:val="16"/>
        <w:szCs w:val="16"/>
      </w:rPr>
    </w:pPr>
    <w:r w:rsidRPr="00DC6C84">
      <w:rPr>
        <w:rFonts w:ascii="Arial" w:hAnsi="Arial" w:cs="Arial"/>
        <w:i/>
        <w:sz w:val="16"/>
        <w:szCs w:val="16"/>
      </w:rPr>
      <w:t>ESTE DOCUMENTO ES PROPIESDAD DE LA E.S.E HOSPITAL SAN JOSE DEL GUAVIARE PROHIBIDA SU REPRODUCCION POR CUALQUIER MEDIO, SIN AUTORIZACION ESCRITA DEL GERENTE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DCC9" w14:textId="77777777" w:rsidR="00FF25F0" w:rsidRDefault="00FF25F0" w:rsidP="00781642">
      <w:pPr>
        <w:spacing w:after="0" w:line="240" w:lineRule="auto"/>
      </w:pPr>
      <w:r>
        <w:separator/>
      </w:r>
    </w:p>
  </w:footnote>
  <w:footnote w:type="continuationSeparator" w:id="0">
    <w:p w14:paraId="46BD7936" w14:textId="77777777" w:rsidR="00FF25F0" w:rsidRDefault="00FF25F0" w:rsidP="0078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180" w:type="dxa"/>
      <w:tblLayout w:type="fixed"/>
      <w:tblLook w:val="04A0" w:firstRow="1" w:lastRow="0" w:firstColumn="1" w:lastColumn="0" w:noHBand="0" w:noVBand="1"/>
    </w:tblPr>
    <w:tblGrid>
      <w:gridCol w:w="1838"/>
      <w:gridCol w:w="4820"/>
      <w:gridCol w:w="2522"/>
    </w:tblGrid>
    <w:tr w:rsidR="00AA37CF" w14:paraId="2F160504" w14:textId="77777777" w:rsidTr="002F0AC5">
      <w:trPr>
        <w:trHeight w:val="402"/>
      </w:trPr>
      <w:tc>
        <w:tcPr>
          <w:tcW w:w="1838" w:type="dxa"/>
          <w:vMerge w:val="restart"/>
        </w:tcPr>
        <w:p w14:paraId="3389DFCC" w14:textId="77777777" w:rsidR="00AA37CF" w:rsidRPr="00BC2497" w:rsidRDefault="00AA37CF" w:rsidP="00781642">
          <w:pPr>
            <w:pStyle w:val="Encabezado"/>
            <w:jc w:val="center"/>
            <w:rPr>
              <w:rFonts w:ascii="Arial" w:hAnsi="Arial" w:cs="Arial"/>
              <w:sz w:val="28"/>
            </w:rPr>
          </w:pPr>
          <w:r w:rsidRPr="00BC2497">
            <w:rPr>
              <w:rFonts w:ascii="Arial" w:hAnsi="Arial" w:cs="Arial"/>
              <w:noProof/>
              <w:sz w:val="28"/>
              <w:lang w:eastAsia="es-CO"/>
            </w:rPr>
            <w:drawing>
              <wp:anchor distT="0" distB="0" distL="114300" distR="114300" simplePos="0" relativeHeight="251659264" behindDoc="0" locked="0" layoutInCell="1" allowOverlap="1" wp14:anchorId="4BE2907F" wp14:editId="152AAA5C">
                <wp:simplePos x="0" y="0"/>
                <wp:positionH relativeFrom="column">
                  <wp:posOffset>-20955</wp:posOffset>
                </wp:positionH>
                <wp:positionV relativeFrom="paragraph">
                  <wp:posOffset>35560</wp:posOffset>
                </wp:positionV>
                <wp:extent cx="1076325" cy="932815"/>
                <wp:effectExtent l="0" t="0" r="952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srcRect/>
                        <a:stretch>
                          <a:fillRect/>
                        </a:stretch>
                      </pic:blipFill>
                      <pic:spPr bwMode="auto">
                        <a:xfrm>
                          <a:off x="0" y="0"/>
                          <a:ext cx="1076325" cy="932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28"/>
            </w:rPr>
            <w:t xml:space="preserve"> </w:t>
          </w:r>
          <w:sdt>
            <w:sdtPr>
              <w:rPr>
                <w:rFonts w:ascii="Arial" w:hAnsi="Arial" w:cs="Arial"/>
                <w:sz w:val="28"/>
              </w:rPr>
              <w:id w:val="926164024"/>
              <w:docPartObj>
                <w:docPartGallery w:val="Page Numbers (Margins)"/>
                <w:docPartUnique/>
              </w:docPartObj>
            </w:sdtPr>
            <w:sdtEndPr/>
            <w:sdtContent/>
          </w:sdt>
        </w:p>
      </w:tc>
      <w:tc>
        <w:tcPr>
          <w:tcW w:w="4820" w:type="dxa"/>
          <w:vMerge w:val="restart"/>
        </w:tcPr>
        <w:p w14:paraId="4B5B7431" w14:textId="0B57C569" w:rsidR="00AA37CF" w:rsidRPr="00BC2497" w:rsidRDefault="00AA37CF" w:rsidP="002A4777">
          <w:pPr>
            <w:pStyle w:val="Encabezado"/>
            <w:jc w:val="center"/>
            <w:rPr>
              <w:rFonts w:ascii="Arial" w:hAnsi="Arial" w:cs="Arial"/>
              <w:b/>
              <w:sz w:val="28"/>
            </w:rPr>
          </w:pPr>
          <w:r w:rsidRPr="002F0AC5">
            <w:rPr>
              <w:rFonts w:ascii="Arial" w:hAnsi="Arial" w:cs="Arial"/>
              <w:b/>
              <w:sz w:val="32"/>
              <w:szCs w:val="24"/>
            </w:rPr>
            <w:t>SEGURIDAD Y SALUD EN EL TRABAJO</w:t>
          </w:r>
        </w:p>
      </w:tc>
      <w:tc>
        <w:tcPr>
          <w:tcW w:w="2522" w:type="dxa"/>
        </w:tcPr>
        <w:p w14:paraId="0E8568E6" w14:textId="70B72B81" w:rsidR="00AA37CF" w:rsidRPr="00BC2497" w:rsidRDefault="00AA37CF" w:rsidP="00781642">
          <w:pPr>
            <w:pStyle w:val="Encabezado"/>
            <w:rPr>
              <w:rFonts w:ascii="Arial" w:hAnsi="Arial" w:cs="Arial"/>
              <w:b/>
            </w:rPr>
          </w:pPr>
          <w:r>
            <w:rPr>
              <w:rFonts w:ascii="Arial" w:hAnsi="Arial" w:cs="Arial"/>
              <w:b/>
            </w:rPr>
            <w:t xml:space="preserve">Código: </w:t>
          </w:r>
          <w:r w:rsidR="00097AAF">
            <w:rPr>
              <w:rFonts w:ascii="Arial" w:hAnsi="Arial" w:cs="Arial"/>
              <w:b/>
            </w:rPr>
            <w:t>E-SST-PT-01</w:t>
          </w:r>
        </w:p>
      </w:tc>
    </w:tr>
    <w:tr w:rsidR="00AA37CF" w14:paraId="41D4B8A9" w14:textId="77777777" w:rsidTr="002F0AC5">
      <w:trPr>
        <w:trHeight w:val="288"/>
      </w:trPr>
      <w:tc>
        <w:tcPr>
          <w:tcW w:w="1838" w:type="dxa"/>
          <w:vMerge/>
          <w:tcBorders>
            <w:bottom w:val="single" w:sz="4" w:space="0" w:color="000000" w:themeColor="text1"/>
          </w:tcBorders>
        </w:tcPr>
        <w:p w14:paraId="7ACB2C89" w14:textId="77777777" w:rsidR="00AA37CF" w:rsidRPr="00BC2497" w:rsidRDefault="00AA37CF" w:rsidP="00781642">
          <w:pPr>
            <w:pStyle w:val="Encabezado"/>
            <w:rPr>
              <w:rFonts w:ascii="Arial" w:hAnsi="Arial" w:cs="Arial"/>
            </w:rPr>
          </w:pPr>
        </w:p>
      </w:tc>
      <w:tc>
        <w:tcPr>
          <w:tcW w:w="4820" w:type="dxa"/>
          <w:vMerge/>
          <w:tcBorders>
            <w:bottom w:val="single" w:sz="4" w:space="0" w:color="000000" w:themeColor="text1"/>
          </w:tcBorders>
        </w:tcPr>
        <w:p w14:paraId="5F788BEA" w14:textId="77777777" w:rsidR="00AA37CF" w:rsidRPr="00BC2497" w:rsidRDefault="00AA37CF" w:rsidP="00781642">
          <w:pPr>
            <w:pStyle w:val="Encabezado"/>
            <w:rPr>
              <w:rFonts w:ascii="Arial" w:hAnsi="Arial" w:cs="Arial"/>
            </w:rPr>
          </w:pPr>
        </w:p>
      </w:tc>
      <w:tc>
        <w:tcPr>
          <w:tcW w:w="2522" w:type="dxa"/>
          <w:tcBorders>
            <w:bottom w:val="single" w:sz="4" w:space="0" w:color="000000" w:themeColor="text1"/>
          </w:tcBorders>
        </w:tcPr>
        <w:p w14:paraId="2E9C6B7F" w14:textId="60ADF8F7" w:rsidR="00AA37CF" w:rsidRPr="00BC2497" w:rsidRDefault="00AA37CF" w:rsidP="003A400C">
          <w:pPr>
            <w:pStyle w:val="Encabezado"/>
            <w:rPr>
              <w:rFonts w:ascii="Arial" w:hAnsi="Arial" w:cs="Arial"/>
              <w:b/>
            </w:rPr>
          </w:pPr>
          <w:r>
            <w:rPr>
              <w:rFonts w:ascii="Arial" w:hAnsi="Arial" w:cs="Arial"/>
              <w:b/>
            </w:rPr>
            <w:t xml:space="preserve">Versión: </w:t>
          </w:r>
          <w:r w:rsidR="00D924A6">
            <w:rPr>
              <w:rFonts w:ascii="Arial" w:hAnsi="Arial" w:cs="Arial"/>
              <w:b/>
            </w:rPr>
            <w:t>1.0</w:t>
          </w:r>
        </w:p>
      </w:tc>
    </w:tr>
    <w:tr w:rsidR="00AA37CF" w14:paraId="4C9F31D6" w14:textId="77777777" w:rsidTr="002F0AC5">
      <w:trPr>
        <w:trHeight w:val="577"/>
      </w:trPr>
      <w:tc>
        <w:tcPr>
          <w:tcW w:w="1838" w:type="dxa"/>
          <w:vMerge/>
        </w:tcPr>
        <w:p w14:paraId="18BCF6DA" w14:textId="77777777" w:rsidR="00AA37CF" w:rsidRPr="00BC2497" w:rsidRDefault="00AA37CF" w:rsidP="00781642">
          <w:pPr>
            <w:pStyle w:val="Encabezado"/>
            <w:rPr>
              <w:rFonts w:ascii="Arial" w:hAnsi="Arial" w:cs="Arial"/>
            </w:rPr>
          </w:pPr>
        </w:p>
      </w:tc>
      <w:tc>
        <w:tcPr>
          <w:tcW w:w="4820" w:type="dxa"/>
          <w:vMerge w:val="restart"/>
        </w:tcPr>
        <w:p w14:paraId="2E0F89FA" w14:textId="2A2B618F" w:rsidR="00AA37CF" w:rsidRPr="002F0AC5" w:rsidRDefault="00AA37CF" w:rsidP="002A4777">
          <w:pPr>
            <w:pStyle w:val="Encabezado"/>
            <w:jc w:val="center"/>
            <w:rPr>
              <w:rFonts w:ascii="Arial" w:hAnsi="Arial" w:cs="Arial"/>
              <w:b/>
              <w:bCs/>
            </w:rPr>
          </w:pPr>
          <w:r w:rsidRPr="002F0AC5">
            <w:rPr>
              <w:rFonts w:ascii="Arial" w:hAnsi="Arial" w:cs="Arial"/>
              <w:b/>
              <w:bCs/>
              <w:sz w:val="24"/>
              <w:szCs w:val="24"/>
            </w:rPr>
            <w:t xml:space="preserve">PROTOCOLO </w:t>
          </w:r>
          <w:r w:rsidR="002F0AC5" w:rsidRPr="002F0AC5">
            <w:rPr>
              <w:rFonts w:ascii="Arial" w:hAnsi="Arial" w:cs="Arial"/>
              <w:b/>
              <w:bCs/>
              <w:sz w:val="24"/>
              <w:szCs w:val="24"/>
            </w:rPr>
            <w:t>DE ACCIDENTE</w:t>
          </w:r>
          <w:r w:rsidRPr="002F0AC5">
            <w:rPr>
              <w:rFonts w:ascii="Arial" w:hAnsi="Arial" w:cs="Arial"/>
              <w:b/>
              <w:bCs/>
              <w:sz w:val="24"/>
              <w:szCs w:val="24"/>
            </w:rPr>
            <w:t xml:space="preserve"> DE TRABAJO POR EXPOSICION AL RIESGO BIOLOGICO</w:t>
          </w:r>
        </w:p>
      </w:tc>
      <w:tc>
        <w:tcPr>
          <w:tcW w:w="2522" w:type="dxa"/>
        </w:tcPr>
        <w:p w14:paraId="252D0ED8" w14:textId="25B5FDCF" w:rsidR="00AA37CF" w:rsidRPr="00BC2497" w:rsidRDefault="00AA37CF" w:rsidP="003A400C">
          <w:pPr>
            <w:pStyle w:val="Encabezado"/>
            <w:rPr>
              <w:rFonts w:ascii="Arial" w:hAnsi="Arial" w:cs="Arial"/>
              <w:b/>
            </w:rPr>
          </w:pPr>
          <w:r w:rsidRPr="00BC2497">
            <w:rPr>
              <w:rFonts w:ascii="Arial" w:hAnsi="Arial" w:cs="Arial"/>
              <w:b/>
            </w:rPr>
            <w:t>Fecha de aprobación:</w:t>
          </w:r>
          <w:r>
            <w:rPr>
              <w:rFonts w:ascii="Arial" w:hAnsi="Arial" w:cs="Arial"/>
              <w:b/>
            </w:rPr>
            <w:t xml:space="preserve"> </w:t>
          </w:r>
          <w:r w:rsidR="00097AAF">
            <w:rPr>
              <w:rFonts w:ascii="Arial" w:hAnsi="Arial" w:cs="Arial"/>
              <w:b/>
            </w:rPr>
            <w:t>14/02/2020</w:t>
          </w:r>
        </w:p>
      </w:tc>
    </w:tr>
    <w:tr w:rsidR="00AA37CF" w14:paraId="498555FA" w14:textId="77777777" w:rsidTr="002F0AC5">
      <w:trPr>
        <w:trHeight w:val="258"/>
      </w:trPr>
      <w:tc>
        <w:tcPr>
          <w:tcW w:w="1838" w:type="dxa"/>
          <w:vMerge/>
        </w:tcPr>
        <w:p w14:paraId="1247AF85" w14:textId="77777777" w:rsidR="00AA37CF" w:rsidRPr="00BC2497" w:rsidRDefault="00AA37CF" w:rsidP="00781642">
          <w:pPr>
            <w:pStyle w:val="Encabezado"/>
            <w:rPr>
              <w:rFonts w:ascii="Arial" w:hAnsi="Arial" w:cs="Arial"/>
            </w:rPr>
          </w:pPr>
        </w:p>
      </w:tc>
      <w:tc>
        <w:tcPr>
          <w:tcW w:w="4820" w:type="dxa"/>
          <w:vMerge/>
        </w:tcPr>
        <w:p w14:paraId="63252D73" w14:textId="77777777" w:rsidR="00AA37CF" w:rsidRPr="00BC2497" w:rsidRDefault="00AA37CF" w:rsidP="00781642">
          <w:pPr>
            <w:pStyle w:val="Encabezado"/>
            <w:jc w:val="center"/>
            <w:rPr>
              <w:rFonts w:ascii="Arial" w:hAnsi="Arial" w:cs="Arial"/>
              <w:b/>
            </w:rPr>
          </w:pPr>
        </w:p>
      </w:tc>
      <w:tc>
        <w:tcPr>
          <w:tcW w:w="2522" w:type="dxa"/>
        </w:tcPr>
        <w:p w14:paraId="244D6E18" w14:textId="5A612AE5" w:rsidR="00AA37CF" w:rsidRPr="00BC2497" w:rsidRDefault="00AA37CF" w:rsidP="00781642">
          <w:pPr>
            <w:pStyle w:val="Encabezado"/>
            <w:rPr>
              <w:rFonts w:ascii="Arial" w:hAnsi="Arial" w:cs="Arial"/>
              <w:b/>
            </w:rPr>
          </w:pPr>
          <w:r w:rsidRPr="00781642">
            <w:rPr>
              <w:rFonts w:ascii="Arial" w:hAnsi="Arial" w:cs="Arial"/>
              <w:b/>
              <w:lang w:val="es-ES"/>
            </w:rPr>
            <w:t xml:space="preserve">Página </w:t>
          </w:r>
          <w:r w:rsidRPr="00781642">
            <w:rPr>
              <w:rFonts w:ascii="Arial" w:hAnsi="Arial" w:cs="Arial"/>
              <w:b/>
            </w:rPr>
            <w:fldChar w:fldCharType="begin"/>
          </w:r>
          <w:r w:rsidRPr="00781642">
            <w:rPr>
              <w:rFonts w:ascii="Arial" w:hAnsi="Arial" w:cs="Arial"/>
              <w:b/>
            </w:rPr>
            <w:instrText>PAGE  \* Arabic  \* MERGEFORMAT</w:instrText>
          </w:r>
          <w:r w:rsidRPr="00781642">
            <w:rPr>
              <w:rFonts w:ascii="Arial" w:hAnsi="Arial" w:cs="Arial"/>
              <w:b/>
            </w:rPr>
            <w:fldChar w:fldCharType="separate"/>
          </w:r>
          <w:r w:rsidR="0043320C" w:rsidRPr="0043320C">
            <w:rPr>
              <w:rFonts w:ascii="Arial" w:hAnsi="Arial" w:cs="Arial"/>
              <w:b/>
              <w:noProof/>
              <w:lang w:val="es-ES"/>
            </w:rPr>
            <w:t>19</w:t>
          </w:r>
          <w:r w:rsidRPr="00781642">
            <w:rPr>
              <w:rFonts w:ascii="Arial" w:hAnsi="Arial" w:cs="Arial"/>
              <w:b/>
            </w:rPr>
            <w:fldChar w:fldCharType="end"/>
          </w:r>
          <w:r w:rsidRPr="00781642">
            <w:rPr>
              <w:rFonts w:ascii="Arial" w:hAnsi="Arial" w:cs="Arial"/>
              <w:b/>
              <w:lang w:val="es-ES"/>
            </w:rPr>
            <w:t xml:space="preserve"> de </w:t>
          </w:r>
          <w:r w:rsidRPr="00781642">
            <w:rPr>
              <w:rFonts w:ascii="Arial" w:hAnsi="Arial" w:cs="Arial"/>
              <w:b/>
            </w:rPr>
            <w:fldChar w:fldCharType="begin"/>
          </w:r>
          <w:r w:rsidRPr="00781642">
            <w:rPr>
              <w:rFonts w:ascii="Arial" w:hAnsi="Arial" w:cs="Arial"/>
              <w:b/>
            </w:rPr>
            <w:instrText>NUMPAGES  \* Arabic  \* MERGEFORMAT</w:instrText>
          </w:r>
          <w:r w:rsidRPr="00781642">
            <w:rPr>
              <w:rFonts w:ascii="Arial" w:hAnsi="Arial" w:cs="Arial"/>
              <w:b/>
            </w:rPr>
            <w:fldChar w:fldCharType="separate"/>
          </w:r>
          <w:r w:rsidR="0043320C" w:rsidRPr="0043320C">
            <w:rPr>
              <w:rFonts w:ascii="Arial" w:hAnsi="Arial" w:cs="Arial"/>
              <w:b/>
              <w:noProof/>
              <w:lang w:val="es-ES"/>
            </w:rPr>
            <w:t>19</w:t>
          </w:r>
          <w:r w:rsidRPr="00781642">
            <w:rPr>
              <w:rFonts w:ascii="Arial" w:hAnsi="Arial" w:cs="Arial"/>
              <w:b/>
            </w:rPr>
            <w:fldChar w:fldCharType="end"/>
          </w:r>
        </w:p>
      </w:tc>
    </w:tr>
  </w:tbl>
  <w:p w14:paraId="1B4027B2" w14:textId="77777777" w:rsidR="00AA37CF" w:rsidRDefault="00AA37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FDEC3B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AF05AA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EA91940"/>
    <w:multiLevelType w:val="multilevel"/>
    <w:tmpl w:val="D69813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DA4B49"/>
    <w:multiLevelType w:val="hybridMultilevel"/>
    <w:tmpl w:val="3FDA1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F125F7"/>
    <w:multiLevelType w:val="multilevel"/>
    <w:tmpl w:val="1F60F322"/>
    <w:lvl w:ilvl="0">
      <w:start w:val="1"/>
      <w:numFmt w:val="decimal"/>
      <w:pStyle w:val="TDC1"/>
      <w:lvlText w:val="%1."/>
      <w:lvlJc w:val="left"/>
      <w:pPr>
        <w:ind w:left="360" w:hanging="360"/>
      </w:pPr>
      <w:rPr>
        <w:rFonts w:ascii="Arial" w:eastAsiaTheme="minorHAnsi" w:hAnsi="Arial" w:cs="Arial"/>
        <w:b w:val="0"/>
        <w:bCs/>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51D2318E"/>
    <w:multiLevelType w:val="hybridMultilevel"/>
    <w:tmpl w:val="2CECB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90441D3"/>
    <w:multiLevelType w:val="hybridMultilevel"/>
    <w:tmpl w:val="CECCF128"/>
    <w:lvl w:ilvl="0" w:tplc="AB56AC3A">
      <w:start w:val="1"/>
      <w:numFmt w:val="lowerLetter"/>
      <w:lvlText w:val="%1)"/>
      <w:lvlJc w:val="left"/>
      <w:pPr>
        <w:ind w:left="720" w:hanging="360"/>
      </w:pPr>
      <w:rPr>
        <w:b/>
        <w:bCs/>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D21C85"/>
    <w:multiLevelType w:val="hybridMultilevel"/>
    <w:tmpl w:val="D2161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2"/>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42"/>
    <w:rsid w:val="000056B7"/>
    <w:rsid w:val="00011A87"/>
    <w:rsid w:val="00017295"/>
    <w:rsid w:val="00025278"/>
    <w:rsid w:val="000621FE"/>
    <w:rsid w:val="000746B0"/>
    <w:rsid w:val="00097AAF"/>
    <w:rsid w:val="000A159E"/>
    <w:rsid w:val="000A1AEC"/>
    <w:rsid w:val="000A75A8"/>
    <w:rsid w:val="000B04B0"/>
    <w:rsid w:val="000B1847"/>
    <w:rsid w:val="000D5EEB"/>
    <w:rsid w:val="000E6BF4"/>
    <w:rsid w:val="000F1612"/>
    <w:rsid w:val="000F5550"/>
    <w:rsid w:val="001376B9"/>
    <w:rsid w:val="00143F90"/>
    <w:rsid w:val="00153475"/>
    <w:rsid w:val="001772DB"/>
    <w:rsid w:val="001A3E4A"/>
    <w:rsid w:val="001A56D8"/>
    <w:rsid w:val="001B09EC"/>
    <w:rsid w:val="001B65CE"/>
    <w:rsid w:val="001C2375"/>
    <w:rsid w:val="001C258A"/>
    <w:rsid w:val="001E497E"/>
    <w:rsid w:val="001F5B00"/>
    <w:rsid w:val="00224758"/>
    <w:rsid w:val="002631C7"/>
    <w:rsid w:val="0026339C"/>
    <w:rsid w:val="00281C8D"/>
    <w:rsid w:val="002A4777"/>
    <w:rsid w:val="002D3589"/>
    <w:rsid w:val="002F0AC5"/>
    <w:rsid w:val="002F6429"/>
    <w:rsid w:val="00300BD2"/>
    <w:rsid w:val="00306435"/>
    <w:rsid w:val="00307977"/>
    <w:rsid w:val="00354FA9"/>
    <w:rsid w:val="00366D00"/>
    <w:rsid w:val="00372745"/>
    <w:rsid w:val="00374124"/>
    <w:rsid w:val="00390FA5"/>
    <w:rsid w:val="00394C80"/>
    <w:rsid w:val="00397BBF"/>
    <w:rsid w:val="003A400C"/>
    <w:rsid w:val="003B5F68"/>
    <w:rsid w:val="003B7766"/>
    <w:rsid w:val="003C089C"/>
    <w:rsid w:val="003C7F75"/>
    <w:rsid w:val="003D3116"/>
    <w:rsid w:val="003D5F66"/>
    <w:rsid w:val="003F5369"/>
    <w:rsid w:val="00403239"/>
    <w:rsid w:val="004126A6"/>
    <w:rsid w:val="00416B5D"/>
    <w:rsid w:val="00427A0C"/>
    <w:rsid w:val="0043320C"/>
    <w:rsid w:val="004338F1"/>
    <w:rsid w:val="004550CC"/>
    <w:rsid w:val="004611CF"/>
    <w:rsid w:val="00467089"/>
    <w:rsid w:val="00490339"/>
    <w:rsid w:val="00491323"/>
    <w:rsid w:val="004B0EA1"/>
    <w:rsid w:val="004B7F42"/>
    <w:rsid w:val="004C4BFC"/>
    <w:rsid w:val="004E4A44"/>
    <w:rsid w:val="004F7B4C"/>
    <w:rsid w:val="00505790"/>
    <w:rsid w:val="00507EAB"/>
    <w:rsid w:val="005127C5"/>
    <w:rsid w:val="00524019"/>
    <w:rsid w:val="00532CAC"/>
    <w:rsid w:val="005816D3"/>
    <w:rsid w:val="00582FB1"/>
    <w:rsid w:val="005934E8"/>
    <w:rsid w:val="00593AF5"/>
    <w:rsid w:val="005A2F7E"/>
    <w:rsid w:val="005B4301"/>
    <w:rsid w:val="005E1D49"/>
    <w:rsid w:val="005E2F98"/>
    <w:rsid w:val="005F1C50"/>
    <w:rsid w:val="00605667"/>
    <w:rsid w:val="0061327B"/>
    <w:rsid w:val="00615C22"/>
    <w:rsid w:val="00621C03"/>
    <w:rsid w:val="0064191A"/>
    <w:rsid w:val="0064613D"/>
    <w:rsid w:val="00652923"/>
    <w:rsid w:val="006B254D"/>
    <w:rsid w:val="006B6783"/>
    <w:rsid w:val="006C6F7D"/>
    <w:rsid w:val="006D2292"/>
    <w:rsid w:val="006D2DE1"/>
    <w:rsid w:val="006E50A4"/>
    <w:rsid w:val="0071147F"/>
    <w:rsid w:val="00721C62"/>
    <w:rsid w:val="0073092B"/>
    <w:rsid w:val="00730FBE"/>
    <w:rsid w:val="00730FEB"/>
    <w:rsid w:val="007316EA"/>
    <w:rsid w:val="0077036E"/>
    <w:rsid w:val="007743B8"/>
    <w:rsid w:val="00781642"/>
    <w:rsid w:val="00790234"/>
    <w:rsid w:val="00790312"/>
    <w:rsid w:val="00795472"/>
    <w:rsid w:val="00796B95"/>
    <w:rsid w:val="007C218A"/>
    <w:rsid w:val="007E6E57"/>
    <w:rsid w:val="00826B4B"/>
    <w:rsid w:val="00833644"/>
    <w:rsid w:val="00867F61"/>
    <w:rsid w:val="00872BF4"/>
    <w:rsid w:val="008D7F90"/>
    <w:rsid w:val="00972FB3"/>
    <w:rsid w:val="009A6A99"/>
    <w:rsid w:val="009B1646"/>
    <w:rsid w:val="009D3E9A"/>
    <w:rsid w:val="00A0164B"/>
    <w:rsid w:val="00A02C49"/>
    <w:rsid w:val="00A200C8"/>
    <w:rsid w:val="00A2174D"/>
    <w:rsid w:val="00A306B7"/>
    <w:rsid w:val="00A36580"/>
    <w:rsid w:val="00A500B3"/>
    <w:rsid w:val="00A77451"/>
    <w:rsid w:val="00A90D34"/>
    <w:rsid w:val="00AA37CF"/>
    <w:rsid w:val="00AE3103"/>
    <w:rsid w:val="00AE3D35"/>
    <w:rsid w:val="00AE4656"/>
    <w:rsid w:val="00AE7370"/>
    <w:rsid w:val="00AF7890"/>
    <w:rsid w:val="00B07C85"/>
    <w:rsid w:val="00B1463E"/>
    <w:rsid w:val="00B158BC"/>
    <w:rsid w:val="00B36214"/>
    <w:rsid w:val="00B57770"/>
    <w:rsid w:val="00B61233"/>
    <w:rsid w:val="00B862DB"/>
    <w:rsid w:val="00BB3D64"/>
    <w:rsid w:val="00BD5D4E"/>
    <w:rsid w:val="00BE00A1"/>
    <w:rsid w:val="00BE3839"/>
    <w:rsid w:val="00C2334D"/>
    <w:rsid w:val="00C30EBA"/>
    <w:rsid w:val="00C33971"/>
    <w:rsid w:val="00C437D1"/>
    <w:rsid w:val="00C575CD"/>
    <w:rsid w:val="00C61AB8"/>
    <w:rsid w:val="00C61F47"/>
    <w:rsid w:val="00C665EC"/>
    <w:rsid w:val="00C90799"/>
    <w:rsid w:val="00CA7A57"/>
    <w:rsid w:val="00CC57DB"/>
    <w:rsid w:val="00CC5F38"/>
    <w:rsid w:val="00CC5F86"/>
    <w:rsid w:val="00CD5695"/>
    <w:rsid w:val="00CE1CF9"/>
    <w:rsid w:val="00CE3180"/>
    <w:rsid w:val="00D04A5A"/>
    <w:rsid w:val="00D073B6"/>
    <w:rsid w:val="00D12AA5"/>
    <w:rsid w:val="00D202C4"/>
    <w:rsid w:val="00D208EC"/>
    <w:rsid w:val="00D275A4"/>
    <w:rsid w:val="00D436BE"/>
    <w:rsid w:val="00D53A00"/>
    <w:rsid w:val="00D756AC"/>
    <w:rsid w:val="00D924A6"/>
    <w:rsid w:val="00D95F66"/>
    <w:rsid w:val="00D963C8"/>
    <w:rsid w:val="00DB5C9F"/>
    <w:rsid w:val="00DC34E8"/>
    <w:rsid w:val="00E2624B"/>
    <w:rsid w:val="00E324EA"/>
    <w:rsid w:val="00E5761F"/>
    <w:rsid w:val="00E62535"/>
    <w:rsid w:val="00E711F4"/>
    <w:rsid w:val="00E84266"/>
    <w:rsid w:val="00E86021"/>
    <w:rsid w:val="00E90E43"/>
    <w:rsid w:val="00E95224"/>
    <w:rsid w:val="00EB2FF5"/>
    <w:rsid w:val="00F8256B"/>
    <w:rsid w:val="00F82BA8"/>
    <w:rsid w:val="00FA055A"/>
    <w:rsid w:val="00FA2E2B"/>
    <w:rsid w:val="00FB1341"/>
    <w:rsid w:val="00FB4616"/>
    <w:rsid w:val="00FB6993"/>
    <w:rsid w:val="00FC3D29"/>
    <w:rsid w:val="00FE36C2"/>
    <w:rsid w:val="00FF15FC"/>
    <w:rsid w:val="00FF25F0"/>
    <w:rsid w:val="00FF6A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D656"/>
  <w15:docId w15:val="{E076B459-CE99-4005-B78A-4A843714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42"/>
  </w:style>
  <w:style w:type="paragraph" w:styleId="Ttulo1">
    <w:name w:val="heading 1"/>
    <w:basedOn w:val="Normal"/>
    <w:next w:val="Normal"/>
    <w:link w:val="Ttulo1Car"/>
    <w:uiPriority w:val="9"/>
    <w:qFormat/>
    <w:rsid w:val="002F0AC5"/>
    <w:pPr>
      <w:keepNext/>
      <w:keepLines/>
      <w:spacing w:before="240" w:after="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2F0AC5"/>
    <w:pPr>
      <w:keepNext/>
      <w:keepLines/>
      <w:spacing w:before="200" w:after="0"/>
      <w:outlineLvl w:val="1"/>
    </w:pPr>
    <w:rPr>
      <w:rFonts w:ascii="Arial" w:eastAsiaTheme="majorEastAsia" w:hAnsi="Arial" w:cstheme="majorBidi"/>
      <w:b/>
      <w:bCs/>
      <w:color w:val="000000" w:themeColor="text1"/>
      <w:sz w:val="26"/>
      <w:szCs w:val="26"/>
    </w:rPr>
  </w:style>
  <w:style w:type="paragraph" w:styleId="Ttulo3">
    <w:name w:val="heading 3"/>
    <w:basedOn w:val="Normal"/>
    <w:next w:val="Normal"/>
    <w:link w:val="Ttulo3Car"/>
    <w:uiPriority w:val="9"/>
    <w:unhideWhenUsed/>
    <w:qFormat/>
    <w:rsid w:val="007816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0AC5"/>
    <w:rPr>
      <w:rFonts w:ascii="Arial" w:eastAsiaTheme="majorEastAsia" w:hAnsi="Arial" w:cstheme="majorBidi"/>
      <w:b/>
      <w:color w:val="000000" w:themeColor="text1"/>
      <w:sz w:val="28"/>
      <w:szCs w:val="32"/>
    </w:rPr>
  </w:style>
  <w:style w:type="character" w:customStyle="1" w:styleId="Ttulo2Car">
    <w:name w:val="Título 2 Car"/>
    <w:basedOn w:val="Fuentedeprrafopredeter"/>
    <w:link w:val="Ttulo2"/>
    <w:uiPriority w:val="9"/>
    <w:rsid w:val="002F0AC5"/>
    <w:rPr>
      <w:rFonts w:ascii="Arial" w:eastAsiaTheme="majorEastAsia" w:hAnsi="Arial" w:cstheme="majorBidi"/>
      <w:b/>
      <w:bCs/>
      <w:color w:val="000000" w:themeColor="text1"/>
      <w:sz w:val="26"/>
      <w:szCs w:val="26"/>
    </w:rPr>
  </w:style>
  <w:style w:type="character" w:customStyle="1" w:styleId="Ttulo3Car">
    <w:name w:val="Título 3 Car"/>
    <w:basedOn w:val="Fuentedeprrafopredeter"/>
    <w:link w:val="Ttulo3"/>
    <w:uiPriority w:val="9"/>
    <w:rsid w:val="00781642"/>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781642"/>
    <w:pPr>
      <w:ind w:left="720"/>
      <w:contextualSpacing/>
    </w:pPr>
  </w:style>
  <w:style w:type="character" w:styleId="Hipervnculo">
    <w:name w:val="Hyperlink"/>
    <w:basedOn w:val="Fuentedeprrafopredeter"/>
    <w:uiPriority w:val="99"/>
    <w:unhideWhenUsed/>
    <w:rsid w:val="00781642"/>
    <w:rPr>
      <w:color w:val="0000FF" w:themeColor="hyperlink"/>
      <w:u w:val="single"/>
    </w:rPr>
  </w:style>
  <w:style w:type="paragraph" w:styleId="Encabezado">
    <w:name w:val="header"/>
    <w:basedOn w:val="Normal"/>
    <w:link w:val="EncabezadoCar"/>
    <w:uiPriority w:val="99"/>
    <w:unhideWhenUsed/>
    <w:rsid w:val="007816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642"/>
  </w:style>
  <w:style w:type="paragraph" w:styleId="Piedepgina">
    <w:name w:val="footer"/>
    <w:basedOn w:val="Normal"/>
    <w:link w:val="PiedepginaCar"/>
    <w:uiPriority w:val="99"/>
    <w:unhideWhenUsed/>
    <w:rsid w:val="007816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642"/>
  </w:style>
  <w:style w:type="table" w:styleId="Tablaconcuadrcula">
    <w:name w:val="Table Grid"/>
    <w:basedOn w:val="Tablanormal"/>
    <w:uiPriority w:val="59"/>
    <w:rsid w:val="007816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78164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O"/>
    </w:rPr>
  </w:style>
  <w:style w:type="character" w:customStyle="1" w:styleId="TtuloCar">
    <w:name w:val="Título Car"/>
    <w:basedOn w:val="Fuentedeprrafopredeter"/>
    <w:link w:val="Ttulo"/>
    <w:uiPriority w:val="10"/>
    <w:rsid w:val="00781642"/>
    <w:rPr>
      <w:rFonts w:asciiTheme="majorHAnsi" w:eastAsiaTheme="majorEastAsia" w:hAnsiTheme="majorHAnsi" w:cstheme="majorBidi"/>
      <w:color w:val="404040" w:themeColor="text1" w:themeTint="BF"/>
      <w:spacing w:val="-10"/>
      <w:kern w:val="28"/>
      <w:sz w:val="56"/>
      <w:szCs w:val="56"/>
      <w:lang w:eastAsia="es-CO"/>
    </w:rPr>
  </w:style>
  <w:style w:type="paragraph" w:styleId="Subttulo">
    <w:name w:val="Subtitle"/>
    <w:basedOn w:val="Normal"/>
    <w:next w:val="Normal"/>
    <w:link w:val="SubttuloCar"/>
    <w:uiPriority w:val="11"/>
    <w:qFormat/>
    <w:rsid w:val="00781642"/>
    <w:pPr>
      <w:numPr>
        <w:ilvl w:val="1"/>
      </w:numPr>
      <w:spacing w:after="160" w:line="259" w:lineRule="auto"/>
    </w:pPr>
    <w:rPr>
      <w:rFonts w:eastAsiaTheme="minorEastAsia" w:cs="Times New Roman"/>
      <w:color w:val="5A5A5A" w:themeColor="text1" w:themeTint="A5"/>
      <w:spacing w:val="15"/>
      <w:lang w:eastAsia="es-CO"/>
    </w:rPr>
  </w:style>
  <w:style w:type="character" w:customStyle="1" w:styleId="SubttuloCar">
    <w:name w:val="Subtítulo Car"/>
    <w:basedOn w:val="Fuentedeprrafopredeter"/>
    <w:link w:val="Subttulo"/>
    <w:uiPriority w:val="11"/>
    <w:rsid w:val="00781642"/>
    <w:rPr>
      <w:rFonts w:eastAsiaTheme="minorEastAsia" w:cs="Times New Roman"/>
      <w:color w:val="5A5A5A" w:themeColor="text1" w:themeTint="A5"/>
      <w:spacing w:val="15"/>
      <w:lang w:eastAsia="es-CO"/>
    </w:rPr>
  </w:style>
  <w:style w:type="paragraph" w:styleId="TtuloTDC">
    <w:name w:val="TOC Heading"/>
    <w:basedOn w:val="Ttulo1"/>
    <w:next w:val="Normal"/>
    <w:uiPriority w:val="39"/>
    <w:unhideWhenUsed/>
    <w:qFormat/>
    <w:rsid w:val="00781642"/>
    <w:pPr>
      <w:spacing w:line="259" w:lineRule="auto"/>
      <w:outlineLvl w:val="9"/>
    </w:pPr>
    <w:rPr>
      <w:lang w:eastAsia="es-CO"/>
    </w:rPr>
  </w:style>
  <w:style w:type="paragraph" w:styleId="TDC1">
    <w:name w:val="toc 1"/>
    <w:basedOn w:val="Normal"/>
    <w:next w:val="Normal"/>
    <w:autoRedefine/>
    <w:uiPriority w:val="39"/>
    <w:unhideWhenUsed/>
    <w:qFormat/>
    <w:rsid w:val="00781642"/>
    <w:pPr>
      <w:numPr>
        <w:numId w:val="3"/>
      </w:numPr>
      <w:tabs>
        <w:tab w:val="left" w:pos="440"/>
        <w:tab w:val="right" w:leader="underscore" w:pos="8828"/>
      </w:tabs>
      <w:spacing w:before="120" w:after="0"/>
      <w:jc w:val="both"/>
    </w:pPr>
    <w:rPr>
      <w:rFonts w:ascii="Arial" w:eastAsiaTheme="minorEastAsia" w:hAnsi="Arial" w:cs="Arial"/>
      <w:noProof/>
      <w:sz w:val="24"/>
      <w:lang w:eastAsia="es-CO"/>
    </w:rPr>
  </w:style>
  <w:style w:type="paragraph" w:styleId="NormalWeb">
    <w:name w:val="Normal (Web)"/>
    <w:basedOn w:val="Normal"/>
    <w:uiPriority w:val="99"/>
    <w:unhideWhenUsed/>
    <w:rsid w:val="007816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816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642"/>
    <w:rPr>
      <w:rFonts w:ascii="Tahoma" w:hAnsi="Tahoma" w:cs="Tahoma"/>
      <w:sz w:val="16"/>
      <w:szCs w:val="16"/>
    </w:rPr>
  </w:style>
  <w:style w:type="paragraph" w:styleId="TDC2">
    <w:name w:val="toc 2"/>
    <w:basedOn w:val="Normal"/>
    <w:next w:val="Normal"/>
    <w:autoRedefine/>
    <w:uiPriority w:val="39"/>
    <w:unhideWhenUsed/>
    <w:qFormat/>
    <w:rsid w:val="00781642"/>
    <w:pPr>
      <w:spacing w:before="120" w:after="0"/>
      <w:ind w:left="220"/>
    </w:pPr>
    <w:rPr>
      <w:b/>
      <w:bCs/>
    </w:rPr>
  </w:style>
  <w:style w:type="paragraph" w:styleId="TDC3">
    <w:name w:val="toc 3"/>
    <w:basedOn w:val="Normal"/>
    <w:next w:val="Normal"/>
    <w:autoRedefine/>
    <w:uiPriority w:val="39"/>
    <w:unhideWhenUsed/>
    <w:qFormat/>
    <w:rsid w:val="00781642"/>
    <w:pPr>
      <w:tabs>
        <w:tab w:val="left" w:pos="1320"/>
        <w:tab w:val="right" w:leader="underscore" w:pos="8828"/>
      </w:tabs>
      <w:spacing w:after="0"/>
      <w:ind w:left="440"/>
      <w:jc w:val="both"/>
    </w:pPr>
    <w:rPr>
      <w:sz w:val="20"/>
      <w:szCs w:val="20"/>
    </w:rPr>
  </w:style>
  <w:style w:type="paragraph" w:styleId="TDC4">
    <w:name w:val="toc 4"/>
    <w:basedOn w:val="Normal"/>
    <w:next w:val="Normal"/>
    <w:autoRedefine/>
    <w:uiPriority w:val="39"/>
    <w:unhideWhenUsed/>
    <w:rsid w:val="00781642"/>
    <w:pPr>
      <w:spacing w:after="0"/>
      <w:ind w:left="660"/>
    </w:pPr>
    <w:rPr>
      <w:sz w:val="20"/>
      <w:szCs w:val="20"/>
    </w:rPr>
  </w:style>
  <w:style w:type="paragraph" w:styleId="TDC5">
    <w:name w:val="toc 5"/>
    <w:basedOn w:val="Normal"/>
    <w:next w:val="Normal"/>
    <w:autoRedefine/>
    <w:uiPriority w:val="39"/>
    <w:unhideWhenUsed/>
    <w:rsid w:val="00781642"/>
    <w:pPr>
      <w:spacing w:after="0"/>
      <w:ind w:left="880"/>
    </w:pPr>
    <w:rPr>
      <w:sz w:val="20"/>
      <w:szCs w:val="20"/>
    </w:rPr>
  </w:style>
  <w:style w:type="paragraph" w:styleId="TDC6">
    <w:name w:val="toc 6"/>
    <w:basedOn w:val="Normal"/>
    <w:next w:val="Normal"/>
    <w:autoRedefine/>
    <w:uiPriority w:val="39"/>
    <w:unhideWhenUsed/>
    <w:rsid w:val="00781642"/>
    <w:pPr>
      <w:spacing w:after="0"/>
      <w:ind w:left="1100"/>
    </w:pPr>
    <w:rPr>
      <w:sz w:val="20"/>
      <w:szCs w:val="20"/>
    </w:rPr>
  </w:style>
  <w:style w:type="paragraph" w:styleId="TDC7">
    <w:name w:val="toc 7"/>
    <w:basedOn w:val="Normal"/>
    <w:next w:val="Normal"/>
    <w:autoRedefine/>
    <w:uiPriority w:val="39"/>
    <w:unhideWhenUsed/>
    <w:rsid w:val="00781642"/>
    <w:pPr>
      <w:spacing w:after="0"/>
      <w:ind w:left="1320"/>
    </w:pPr>
    <w:rPr>
      <w:sz w:val="20"/>
      <w:szCs w:val="20"/>
    </w:rPr>
  </w:style>
  <w:style w:type="paragraph" w:styleId="TDC8">
    <w:name w:val="toc 8"/>
    <w:basedOn w:val="Normal"/>
    <w:next w:val="Normal"/>
    <w:autoRedefine/>
    <w:uiPriority w:val="39"/>
    <w:unhideWhenUsed/>
    <w:rsid w:val="00781642"/>
    <w:pPr>
      <w:spacing w:after="0"/>
      <w:ind w:left="1540"/>
    </w:pPr>
    <w:rPr>
      <w:sz w:val="20"/>
      <w:szCs w:val="20"/>
    </w:rPr>
  </w:style>
  <w:style w:type="paragraph" w:styleId="TDC9">
    <w:name w:val="toc 9"/>
    <w:basedOn w:val="Normal"/>
    <w:next w:val="Normal"/>
    <w:autoRedefine/>
    <w:uiPriority w:val="39"/>
    <w:unhideWhenUsed/>
    <w:rsid w:val="00781642"/>
    <w:pPr>
      <w:spacing w:after="0"/>
      <w:ind w:left="1760"/>
    </w:pPr>
    <w:rPr>
      <w:sz w:val="20"/>
      <w:szCs w:val="20"/>
    </w:rPr>
  </w:style>
  <w:style w:type="character" w:styleId="Textoennegrita">
    <w:name w:val="Strong"/>
    <w:basedOn w:val="Fuentedeprrafopredeter"/>
    <w:qFormat/>
    <w:rsid w:val="00781642"/>
    <w:rPr>
      <w:b/>
      <w:bCs/>
    </w:rPr>
  </w:style>
  <w:style w:type="paragraph" w:styleId="Listaconvietas2">
    <w:name w:val="List Bullet 2"/>
    <w:basedOn w:val="Normal"/>
    <w:uiPriority w:val="99"/>
    <w:unhideWhenUsed/>
    <w:rsid w:val="00781642"/>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781642"/>
    <w:pPr>
      <w:spacing w:after="120" w:line="240" w:lineRule="auto"/>
      <w:ind w:left="283"/>
      <w:contextualSpacing/>
    </w:pPr>
    <w:rPr>
      <w:rFonts w:ascii="Times New Roman" w:eastAsia="Times New Roman" w:hAnsi="Times New Roman" w:cs="Times New Roman"/>
      <w:sz w:val="24"/>
      <w:szCs w:val="24"/>
      <w:lang w:val="es-ES" w:eastAsia="es-ES"/>
    </w:rPr>
  </w:style>
  <w:style w:type="paragraph" w:styleId="Lista">
    <w:name w:val="List"/>
    <w:basedOn w:val="Normal"/>
    <w:uiPriority w:val="99"/>
    <w:semiHidden/>
    <w:unhideWhenUsed/>
    <w:rsid w:val="00781642"/>
    <w:pPr>
      <w:ind w:left="283" w:hanging="283"/>
      <w:contextualSpacing/>
    </w:pPr>
  </w:style>
  <w:style w:type="paragraph" w:styleId="Listaconvietas3">
    <w:name w:val="List Bullet 3"/>
    <w:basedOn w:val="Normal"/>
    <w:uiPriority w:val="99"/>
    <w:semiHidden/>
    <w:unhideWhenUsed/>
    <w:rsid w:val="00781642"/>
    <w:pPr>
      <w:numPr>
        <w:numId w:val="2"/>
      </w:numPr>
      <w:contextualSpacing/>
    </w:pPr>
  </w:style>
  <w:style w:type="paragraph" w:styleId="Continuarlista2">
    <w:name w:val="List Continue 2"/>
    <w:basedOn w:val="Normal"/>
    <w:uiPriority w:val="99"/>
    <w:unhideWhenUsed/>
    <w:rsid w:val="00781642"/>
    <w:pPr>
      <w:spacing w:after="120"/>
      <w:ind w:left="566"/>
      <w:contextualSpacing/>
    </w:pPr>
  </w:style>
  <w:style w:type="paragraph" w:styleId="Textoindependiente">
    <w:name w:val="Body Text"/>
    <w:basedOn w:val="Normal"/>
    <w:link w:val="TextoindependienteCar"/>
    <w:uiPriority w:val="99"/>
    <w:unhideWhenUsed/>
    <w:rsid w:val="00781642"/>
    <w:pPr>
      <w:spacing w:after="0" w:line="36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781642"/>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781642"/>
  </w:style>
  <w:style w:type="paragraph" w:customStyle="1" w:styleId="Default">
    <w:name w:val="Default"/>
    <w:rsid w:val="00781642"/>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Sinespaciado">
    <w:name w:val="No Spacing"/>
    <w:uiPriority w:val="1"/>
    <w:qFormat/>
    <w:rsid w:val="00781642"/>
    <w:pPr>
      <w:spacing w:after="0" w:line="240" w:lineRule="auto"/>
    </w:pPr>
  </w:style>
  <w:style w:type="paragraph" w:customStyle="1" w:styleId="Literal1">
    <w:name w:val="Literal1"/>
    <w:basedOn w:val="Normal"/>
    <w:next w:val="Normal"/>
    <w:rsid w:val="001B09E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character" w:styleId="Mencinsinresolver">
    <w:name w:val="Unresolved Mention"/>
    <w:basedOn w:val="Fuentedeprrafopredeter"/>
    <w:uiPriority w:val="99"/>
    <w:semiHidden/>
    <w:unhideWhenUsed/>
    <w:rsid w:val="00D92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304">
      <w:bodyDiv w:val="1"/>
      <w:marLeft w:val="0"/>
      <w:marRight w:val="0"/>
      <w:marTop w:val="0"/>
      <w:marBottom w:val="0"/>
      <w:divBdr>
        <w:top w:val="none" w:sz="0" w:space="0" w:color="auto"/>
        <w:left w:val="none" w:sz="0" w:space="0" w:color="auto"/>
        <w:bottom w:val="none" w:sz="0" w:space="0" w:color="auto"/>
        <w:right w:val="none" w:sz="0" w:space="0" w:color="auto"/>
      </w:divBdr>
    </w:div>
    <w:div w:id="131141311">
      <w:bodyDiv w:val="1"/>
      <w:marLeft w:val="0"/>
      <w:marRight w:val="0"/>
      <w:marTop w:val="0"/>
      <w:marBottom w:val="0"/>
      <w:divBdr>
        <w:top w:val="none" w:sz="0" w:space="0" w:color="auto"/>
        <w:left w:val="none" w:sz="0" w:space="0" w:color="auto"/>
        <w:bottom w:val="none" w:sz="0" w:space="0" w:color="auto"/>
        <w:right w:val="none" w:sz="0" w:space="0" w:color="auto"/>
      </w:divBdr>
    </w:div>
    <w:div w:id="265620745">
      <w:bodyDiv w:val="1"/>
      <w:marLeft w:val="0"/>
      <w:marRight w:val="0"/>
      <w:marTop w:val="0"/>
      <w:marBottom w:val="0"/>
      <w:divBdr>
        <w:top w:val="none" w:sz="0" w:space="0" w:color="auto"/>
        <w:left w:val="none" w:sz="0" w:space="0" w:color="auto"/>
        <w:bottom w:val="none" w:sz="0" w:space="0" w:color="auto"/>
        <w:right w:val="none" w:sz="0" w:space="0" w:color="auto"/>
      </w:divBdr>
    </w:div>
    <w:div w:id="266691965">
      <w:bodyDiv w:val="1"/>
      <w:marLeft w:val="0"/>
      <w:marRight w:val="0"/>
      <w:marTop w:val="0"/>
      <w:marBottom w:val="0"/>
      <w:divBdr>
        <w:top w:val="none" w:sz="0" w:space="0" w:color="auto"/>
        <w:left w:val="none" w:sz="0" w:space="0" w:color="auto"/>
        <w:bottom w:val="none" w:sz="0" w:space="0" w:color="auto"/>
        <w:right w:val="none" w:sz="0" w:space="0" w:color="auto"/>
      </w:divBdr>
    </w:div>
    <w:div w:id="359165132">
      <w:bodyDiv w:val="1"/>
      <w:marLeft w:val="0"/>
      <w:marRight w:val="0"/>
      <w:marTop w:val="0"/>
      <w:marBottom w:val="0"/>
      <w:divBdr>
        <w:top w:val="none" w:sz="0" w:space="0" w:color="auto"/>
        <w:left w:val="none" w:sz="0" w:space="0" w:color="auto"/>
        <w:bottom w:val="none" w:sz="0" w:space="0" w:color="auto"/>
        <w:right w:val="none" w:sz="0" w:space="0" w:color="auto"/>
      </w:divBdr>
    </w:div>
    <w:div w:id="429856861">
      <w:bodyDiv w:val="1"/>
      <w:marLeft w:val="0"/>
      <w:marRight w:val="0"/>
      <w:marTop w:val="0"/>
      <w:marBottom w:val="0"/>
      <w:divBdr>
        <w:top w:val="none" w:sz="0" w:space="0" w:color="auto"/>
        <w:left w:val="none" w:sz="0" w:space="0" w:color="auto"/>
        <w:bottom w:val="none" w:sz="0" w:space="0" w:color="auto"/>
        <w:right w:val="none" w:sz="0" w:space="0" w:color="auto"/>
      </w:divBdr>
    </w:div>
    <w:div w:id="500700266">
      <w:bodyDiv w:val="1"/>
      <w:marLeft w:val="0"/>
      <w:marRight w:val="0"/>
      <w:marTop w:val="0"/>
      <w:marBottom w:val="0"/>
      <w:divBdr>
        <w:top w:val="none" w:sz="0" w:space="0" w:color="auto"/>
        <w:left w:val="none" w:sz="0" w:space="0" w:color="auto"/>
        <w:bottom w:val="none" w:sz="0" w:space="0" w:color="auto"/>
        <w:right w:val="none" w:sz="0" w:space="0" w:color="auto"/>
      </w:divBdr>
    </w:div>
    <w:div w:id="526336559">
      <w:bodyDiv w:val="1"/>
      <w:marLeft w:val="0"/>
      <w:marRight w:val="0"/>
      <w:marTop w:val="0"/>
      <w:marBottom w:val="0"/>
      <w:divBdr>
        <w:top w:val="none" w:sz="0" w:space="0" w:color="auto"/>
        <w:left w:val="none" w:sz="0" w:space="0" w:color="auto"/>
        <w:bottom w:val="none" w:sz="0" w:space="0" w:color="auto"/>
        <w:right w:val="none" w:sz="0" w:space="0" w:color="auto"/>
      </w:divBdr>
    </w:div>
    <w:div w:id="562302246">
      <w:bodyDiv w:val="1"/>
      <w:marLeft w:val="0"/>
      <w:marRight w:val="0"/>
      <w:marTop w:val="0"/>
      <w:marBottom w:val="0"/>
      <w:divBdr>
        <w:top w:val="none" w:sz="0" w:space="0" w:color="auto"/>
        <w:left w:val="none" w:sz="0" w:space="0" w:color="auto"/>
        <w:bottom w:val="none" w:sz="0" w:space="0" w:color="auto"/>
        <w:right w:val="none" w:sz="0" w:space="0" w:color="auto"/>
      </w:divBdr>
    </w:div>
    <w:div w:id="777872850">
      <w:bodyDiv w:val="1"/>
      <w:marLeft w:val="0"/>
      <w:marRight w:val="0"/>
      <w:marTop w:val="0"/>
      <w:marBottom w:val="0"/>
      <w:divBdr>
        <w:top w:val="none" w:sz="0" w:space="0" w:color="auto"/>
        <w:left w:val="none" w:sz="0" w:space="0" w:color="auto"/>
        <w:bottom w:val="none" w:sz="0" w:space="0" w:color="auto"/>
        <w:right w:val="none" w:sz="0" w:space="0" w:color="auto"/>
      </w:divBdr>
    </w:div>
    <w:div w:id="1046023078">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507017093">
      <w:bodyDiv w:val="1"/>
      <w:marLeft w:val="0"/>
      <w:marRight w:val="0"/>
      <w:marTop w:val="0"/>
      <w:marBottom w:val="0"/>
      <w:divBdr>
        <w:top w:val="none" w:sz="0" w:space="0" w:color="auto"/>
        <w:left w:val="none" w:sz="0" w:space="0" w:color="auto"/>
        <w:bottom w:val="none" w:sz="0" w:space="0" w:color="auto"/>
        <w:right w:val="none" w:sz="0" w:space="0" w:color="auto"/>
      </w:divBdr>
    </w:div>
    <w:div w:id="1530605309">
      <w:bodyDiv w:val="1"/>
      <w:marLeft w:val="0"/>
      <w:marRight w:val="0"/>
      <w:marTop w:val="0"/>
      <w:marBottom w:val="0"/>
      <w:divBdr>
        <w:top w:val="none" w:sz="0" w:space="0" w:color="auto"/>
        <w:left w:val="none" w:sz="0" w:space="0" w:color="auto"/>
        <w:bottom w:val="none" w:sz="0" w:space="0" w:color="auto"/>
        <w:right w:val="none" w:sz="0" w:space="0" w:color="auto"/>
      </w:divBdr>
    </w:div>
    <w:div w:id="1626885963">
      <w:bodyDiv w:val="1"/>
      <w:marLeft w:val="0"/>
      <w:marRight w:val="0"/>
      <w:marTop w:val="0"/>
      <w:marBottom w:val="0"/>
      <w:divBdr>
        <w:top w:val="none" w:sz="0" w:space="0" w:color="auto"/>
        <w:left w:val="none" w:sz="0" w:space="0" w:color="auto"/>
        <w:bottom w:val="none" w:sz="0" w:space="0" w:color="auto"/>
        <w:right w:val="none" w:sz="0" w:space="0" w:color="auto"/>
      </w:divBdr>
    </w:div>
    <w:div w:id="1702515047">
      <w:bodyDiv w:val="1"/>
      <w:marLeft w:val="0"/>
      <w:marRight w:val="0"/>
      <w:marTop w:val="0"/>
      <w:marBottom w:val="0"/>
      <w:divBdr>
        <w:top w:val="none" w:sz="0" w:space="0" w:color="auto"/>
        <w:left w:val="none" w:sz="0" w:space="0" w:color="auto"/>
        <w:bottom w:val="none" w:sz="0" w:space="0" w:color="auto"/>
        <w:right w:val="none" w:sz="0" w:space="0" w:color="auto"/>
      </w:divBdr>
    </w:div>
    <w:div w:id="1787041481">
      <w:bodyDiv w:val="1"/>
      <w:marLeft w:val="0"/>
      <w:marRight w:val="0"/>
      <w:marTop w:val="0"/>
      <w:marBottom w:val="0"/>
      <w:divBdr>
        <w:top w:val="none" w:sz="0" w:space="0" w:color="auto"/>
        <w:left w:val="none" w:sz="0" w:space="0" w:color="auto"/>
        <w:bottom w:val="none" w:sz="0" w:space="0" w:color="auto"/>
        <w:right w:val="none" w:sz="0" w:space="0" w:color="auto"/>
      </w:divBdr>
    </w:div>
    <w:div w:id="1863934664">
      <w:bodyDiv w:val="1"/>
      <w:marLeft w:val="0"/>
      <w:marRight w:val="0"/>
      <w:marTop w:val="0"/>
      <w:marBottom w:val="0"/>
      <w:divBdr>
        <w:top w:val="none" w:sz="0" w:space="0" w:color="auto"/>
        <w:left w:val="none" w:sz="0" w:space="0" w:color="auto"/>
        <w:bottom w:val="none" w:sz="0" w:space="0" w:color="auto"/>
        <w:right w:val="none" w:sz="0" w:space="0" w:color="auto"/>
      </w:divBdr>
    </w:div>
    <w:div w:id="18745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oridadcero.com/wp-content/uploads/2014/03/Protocolo-postexposici%C3%B3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E41F-B083-4A52-9D58-728B2C8C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5094</Words>
  <Characters>28017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CALIDAD</cp:lastModifiedBy>
  <cp:revision>2</cp:revision>
  <cp:lastPrinted>2018-02-28T23:37:00Z</cp:lastPrinted>
  <dcterms:created xsi:type="dcterms:W3CDTF">2020-02-18T16:39:00Z</dcterms:created>
  <dcterms:modified xsi:type="dcterms:W3CDTF">2020-02-18T16:39:00Z</dcterms:modified>
</cp:coreProperties>
</file>